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p>
    <w:p>
      <w:pPr>
        <w:rPr>
          <w:rFonts w:hint="eastAsia"/>
        </w:rPr>
      </w:pPr>
    </w:p>
    <w:tbl>
      <w:tblPr>
        <w:tblStyle w:val="4"/>
        <w:tblW w:w="4998" w:type="pct"/>
        <w:tblInd w:w="0" w:type="dxa"/>
        <w:tblLayout w:type="autofit"/>
        <w:tblCellMar>
          <w:top w:w="0" w:type="dxa"/>
          <w:left w:w="108" w:type="dxa"/>
          <w:bottom w:w="0" w:type="dxa"/>
          <w:right w:w="108" w:type="dxa"/>
        </w:tblCellMar>
      </w:tblPr>
      <w:tblGrid>
        <w:gridCol w:w="693"/>
        <w:gridCol w:w="473"/>
        <w:gridCol w:w="724"/>
        <w:gridCol w:w="6632"/>
      </w:tblGrid>
      <w:tr>
        <w:tblPrEx>
          <w:tblCellMar>
            <w:top w:w="0" w:type="dxa"/>
            <w:left w:w="108" w:type="dxa"/>
            <w:bottom w:w="0" w:type="dxa"/>
            <w:right w:w="108" w:type="dxa"/>
          </w:tblCellMar>
        </w:tblPrEx>
        <w:trPr>
          <w:trHeight w:val="651" w:hRule="atLeast"/>
        </w:trPr>
        <w:tc>
          <w:tcPr>
            <w:tcW w:w="55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color w:val="000000"/>
                <w:sz w:val="18"/>
                <w:szCs w:val="18"/>
              </w:rPr>
            </w:pPr>
            <w:r>
              <w:rPr>
                <w:rFonts w:hint="eastAsia" w:ascii="宋体" w:hAnsi="宋体" w:cs="宋体"/>
                <w:b/>
                <w:bCs/>
                <w:color w:val="000000"/>
                <w:sz w:val="18"/>
                <w:szCs w:val="18"/>
              </w:rPr>
              <w:t>使用区域</w:t>
            </w:r>
          </w:p>
        </w:tc>
        <w:tc>
          <w:tcPr>
            <w:tcW w:w="866" w:type="pct"/>
            <w:tcBorders>
              <w:top w:val="single" w:color="auto" w:sz="4" w:space="0"/>
              <w:left w:val="nil"/>
              <w:bottom w:val="single" w:color="auto" w:sz="4" w:space="0"/>
              <w:right w:val="single" w:color="auto" w:sz="4" w:space="0"/>
            </w:tcBorders>
            <w:noWrap/>
            <w:vAlign w:val="center"/>
          </w:tcPr>
          <w:p>
            <w:pPr>
              <w:ind w:right="130" w:rightChars="62"/>
              <w:jc w:val="center"/>
              <w:rPr>
                <w:rFonts w:ascii="宋体" w:cs="宋体"/>
                <w:b/>
                <w:bCs/>
                <w:color w:val="000000"/>
                <w:sz w:val="18"/>
                <w:szCs w:val="18"/>
              </w:rPr>
            </w:pPr>
            <w:r>
              <w:rPr>
                <w:rFonts w:hint="eastAsia" w:ascii="宋体" w:hAnsi="宋体" w:cs="宋体"/>
                <w:b/>
                <w:bCs/>
                <w:color w:val="000000"/>
                <w:sz w:val="18"/>
                <w:szCs w:val="18"/>
              </w:rPr>
              <w:t>窗帘类型</w:t>
            </w:r>
          </w:p>
        </w:tc>
        <w:tc>
          <w:tcPr>
            <w:tcW w:w="3582" w:type="pct"/>
            <w:gridSpan w:val="2"/>
            <w:tcBorders>
              <w:top w:val="single" w:color="auto" w:sz="4" w:space="0"/>
              <w:left w:val="nil"/>
              <w:bottom w:val="single" w:color="auto" w:sz="4" w:space="0"/>
              <w:right w:val="single" w:color="auto" w:sz="4" w:space="0"/>
            </w:tcBorders>
            <w:noWrap/>
            <w:vAlign w:val="center"/>
          </w:tcPr>
          <w:p>
            <w:pPr>
              <w:ind w:left="-344" w:leftChars="-164" w:firstLine="141" w:firstLineChars="78"/>
              <w:jc w:val="center"/>
              <w:rPr>
                <w:rFonts w:ascii="宋体" w:cs="宋体"/>
                <w:b/>
                <w:bCs/>
                <w:color w:val="000000"/>
                <w:sz w:val="18"/>
                <w:szCs w:val="18"/>
              </w:rPr>
            </w:pPr>
            <w:r>
              <w:rPr>
                <w:rFonts w:hint="eastAsia" w:ascii="宋体" w:hAnsi="宋体" w:cs="宋体"/>
                <w:b/>
                <w:bCs/>
                <w:color w:val="000000"/>
                <w:sz w:val="18"/>
                <w:szCs w:val="18"/>
              </w:rPr>
              <w:t>窗帘电机及材质技术参数要求</w:t>
            </w:r>
          </w:p>
        </w:tc>
      </w:tr>
      <w:tr>
        <w:tblPrEx>
          <w:tblCellMar>
            <w:top w:w="0" w:type="dxa"/>
            <w:left w:w="108" w:type="dxa"/>
            <w:bottom w:w="0" w:type="dxa"/>
            <w:right w:w="108" w:type="dxa"/>
          </w:tblCellMar>
        </w:tblPrEx>
        <w:trPr>
          <w:trHeight w:val="3158" w:hRule="atLeast"/>
        </w:trPr>
        <w:tc>
          <w:tcPr>
            <w:tcW w:w="551" w:type="pct"/>
            <w:vMerge w:val="restart"/>
            <w:tcBorders>
              <w:top w:val="nil"/>
              <w:left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实验室、</w:t>
            </w:r>
          </w:p>
          <w:p>
            <w:pPr>
              <w:jc w:val="center"/>
              <w:rPr>
                <w:rFonts w:ascii="宋体" w:cs="宋体"/>
                <w:sz w:val="18"/>
                <w:szCs w:val="18"/>
              </w:rPr>
            </w:pPr>
            <w:r>
              <w:rPr>
                <w:rFonts w:hint="eastAsia" w:ascii="宋体" w:hAnsi="宋体" w:cs="宋体"/>
                <w:sz w:val="18"/>
                <w:szCs w:val="18"/>
              </w:rPr>
              <w:t>诊室</w:t>
            </w:r>
          </w:p>
        </w:tc>
        <w:tc>
          <w:tcPr>
            <w:tcW w:w="866" w:type="pct"/>
            <w:vMerge w:val="restart"/>
            <w:tcBorders>
              <w:top w:val="nil"/>
              <w:left w:val="single" w:color="auto" w:sz="4" w:space="0"/>
              <w:right w:val="single" w:color="auto" w:sz="4" w:space="0"/>
            </w:tcBorders>
            <w:noWrap/>
            <w:vAlign w:val="center"/>
          </w:tcPr>
          <w:p>
            <w:pPr>
              <w:rPr>
                <w:rFonts w:ascii="宋体" w:cs="宋体"/>
                <w:sz w:val="18"/>
                <w:szCs w:val="18"/>
              </w:rPr>
            </w:pPr>
            <w:r>
              <w:rPr>
                <w:rFonts w:hint="eastAsia" w:ascii="宋体" w:hAnsi="宋体" w:cs="宋体"/>
                <w:sz w:val="18"/>
                <w:szCs w:val="18"/>
              </w:rPr>
              <w:t>手动阳光卷帘</w:t>
            </w:r>
          </w:p>
        </w:tc>
        <w:tc>
          <w:tcPr>
            <w:tcW w:w="1588" w:type="pct"/>
            <w:vMerge w:val="restart"/>
            <w:tcBorders>
              <w:left w:val="single" w:color="auto" w:sz="4" w:space="0"/>
              <w:right w:val="single" w:color="auto" w:sz="4" w:space="0"/>
            </w:tcBorders>
            <w:noWrap/>
            <w:vAlign w:val="center"/>
          </w:tcPr>
          <w:p>
            <w:pPr>
              <w:rPr>
                <w:rFonts w:ascii="宋体" w:cs="宋体"/>
                <w:color w:val="000000"/>
                <w:sz w:val="18"/>
                <w:szCs w:val="18"/>
              </w:rPr>
            </w:pPr>
            <w:r>
              <w:rPr>
                <w:rFonts w:hint="eastAsia" w:ascii="宋体" w:cs="宋体"/>
              </w:rPr>
              <w:drawing>
                <wp:inline distT="0" distB="0" distL="114300" distR="114300">
                  <wp:extent cx="1445895" cy="135255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45895" cy="1352550"/>
                          </a:xfrm>
                          <a:prstGeom prst="rect">
                            <a:avLst/>
                          </a:prstGeom>
                          <a:noFill/>
                          <a:ln>
                            <a:noFill/>
                          </a:ln>
                        </pic:spPr>
                      </pic:pic>
                    </a:graphicData>
                  </a:graphic>
                </wp:inline>
              </w:drawing>
            </w:r>
          </w:p>
        </w:tc>
        <w:tc>
          <w:tcPr>
            <w:tcW w:w="1994" w:type="pct"/>
            <w:tcBorders>
              <w:top w:val="nil"/>
              <w:left w:val="nil"/>
              <w:bottom w:val="single" w:color="auto" w:sz="4" w:space="0"/>
              <w:right w:val="single" w:color="auto" w:sz="4" w:space="0"/>
            </w:tcBorders>
            <w:noWrap/>
            <w:vAlign w:val="center"/>
          </w:tcPr>
          <w:p>
            <w:pPr>
              <w:rPr>
                <w:rFonts w:ascii="宋体" w:cs="宋体"/>
                <w:sz w:val="18"/>
                <w:szCs w:val="18"/>
              </w:rPr>
            </w:pPr>
            <w:r>
              <w:rPr>
                <w:rFonts w:hint="eastAsia" w:ascii="宋体" w:hAnsi="宋体" w:cs="宋体"/>
                <w:sz w:val="18"/>
                <w:szCs w:val="18"/>
              </w:rPr>
              <w:t>卷筒：外径</w:t>
            </w:r>
            <w:r>
              <w:rPr>
                <w:rFonts w:ascii="宋体" w:hAnsi="宋体" w:cs="宋体"/>
                <w:sz w:val="18"/>
                <w:szCs w:val="18"/>
              </w:rPr>
              <w:t>38mm</w:t>
            </w:r>
            <w:r>
              <w:rPr>
                <w:rFonts w:hint="eastAsia" w:ascii="宋体" w:hAnsi="宋体" w:cs="宋体"/>
                <w:sz w:val="18"/>
                <w:szCs w:val="18"/>
              </w:rPr>
              <w:t>，壁厚</w:t>
            </w:r>
            <w:r>
              <w:rPr>
                <w:rFonts w:ascii="宋体" w:hAnsi="宋体" w:cs="宋体"/>
                <w:sz w:val="18"/>
                <w:szCs w:val="18"/>
              </w:rPr>
              <w:t>1.2m</w:t>
            </w:r>
            <w:r>
              <w:rPr>
                <w:rFonts w:hint="eastAsia" w:ascii="宋体" w:hAnsi="宋体" w:cs="宋体"/>
                <w:sz w:val="18"/>
                <w:szCs w:val="18"/>
              </w:rPr>
              <w:t>带插槽</w:t>
            </w:r>
            <w:r>
              <w:rPr>
                <w:rFonts w:ascii="宋体" w:hAnsi="宋体" w:cs="宋体"/>
                <w:sz w:val="18"/>
                <w:szCs w:val="18"/>
              </w:rPr>
              <w:t xml:space="preserve"> </w:t>
            </w:r>
            <w:r>
              <w:rPr>
                <w:rFonts w:hint="eastAsia" w:ascii="宋体" w:hAnsi="宋体" w:cs="宋体"/>
                <w:sz w:val="18"/>
                <w:szCs w:val="18"/>
              </w:rPr>
              <w:t>；底杆：铝合金材质采用长方形底杆挤压成型，壁厚不小于</w:t>
            </w:r>
            <w:r>
              <w:rPr>
                <w:rFonts w:ascii="宋体" w:hAnsi="宋体" w:cs="宋体"/>
                <w:sz w:val="18"/>
                <w:szCs w:val="18"/>
              </w:rPr>
              <w:t>1.3mm</w:t>
            </w:r>
            <w:r>
              <w:rPr>
                <w:rFonts w:hint="eastAsia" w:ascii="宋体" w:hAnsi="宋体" w:cs="宋体"/>
                <w:sz w:val="18"/>
                <w:szCs w:val="18"/>
              </w:rPr>
              <w:t>，帘布底端需焊接，不能使用订书针装订，插到底杆内需加同色边盖；珠链：高品质工程塑料材质，颗粒圆整、间距均匀，表面光洁、不易褪色，用手及面颊接触无毛刺感，帘布固定：面料顶边包裹</w:t>
            </w:r>
            <w:r>
              <w:rPr>
                <w:rFonts w:ascii="宋体" w:hAnsi="宋体" w:cs="宋体"/>
                <w:sz w:val="18"/>
                <w:szCs w:val="18"/>
              </w:rPr>
              <w:t>PVC</w:t>
            </w:r>
            <w:r>
              <w:rPr>
                <w:rFonts w:hint="eastAsia" w:ascii="宋体" w:hAnsi="宋体" w:cs="宋体"/>
                <w:sz w:val="18"/>
                <w:szCs w:val="18"/>
              </w:rPr>
              <w:t>材料后插入卷管的凹槽内，保证面料永不脱落，抗弯能力强；面料底部用</w:t>
            </w:r>
            <w:r>
              <w:rPr>
                <w:rFonts w:ascii="宋体" w:hAnsi="宋体" w:cs="宋体"/>
                <w:sz w:val="18"/>
                <w:szCs w:val="18"/>
              </w:rPr>
              <w:t>PS</w:t>
            </w:r>
            <w:r>
              <w:rPr>
                <w:rFonts w:hint="eastAsia" w:ascii="宋体" w:hAnsi="宋体" w:cs="宋体"/>
                <w:sz w:val="18"/>
                <w:szCs w:val="18"/>
              </w:rPr>
              <w:t>透明杆插入底槽口内，与底槽固定，制头：系统内置金属芯护套，中心轴更耐磨，自带减速省力装置，操作平稳，伸缩型尾插便于安装、支架采用锌合金材料、尾插支架配有轴承装置，降噪减少摩擦，可承载</w:t>
            </w:r>
            <w:r>
              <w:rPr>
                <w:rFonts w:ascii="宋体" w:hAnsi="宋体" w:cs="宋体"/>
                <w:sz w:val="18"/>
                <w:szCs w:val="18"/>
              </w:rPr>
              <w:t>8kg</w:t>
            </w:r>
            <w:r>
              <w:rPr>
                <w:rFonts w:hint="eastAsia" w:ascii="宋体" w:hAnsi="宋体" w:cs="宋体"/>
                <w:sz w:val="18"/>
                <w:szCs w:val="18"/>
              </w:rPr>
              <w:t>的重量，保证面积在</w:t>
            </w:r>
            <w:r>
              <w:rPr>
                <w:rFonts w:ascii="宋体" w:hAnsi="宋体" w:cs="宋体"/>
                <w:sz w:val="18"/>
                <w:szCs w:val="18"/>
              </w:rPr>
              <w:t>8</w:t>
            </w:r>
            <w:r>
              <w:rPr>
                <w:rFonts w:hint="eastAsia" w:ascii="宋体" w:hAnsi="宋体" w:cs="宋体"/>
                <w:sz w:val="18"/>
                <w:szCs w:val="18"/>
              </w:rPr>
              <w:t>㎡以内的窗帘收拉自如。</w:t>
            </w:r>
          </w:p>
          <w:p>
            <w:pPr>
              <w:rPr>
                <w:rFonts w:ascii="宋体" w:cs="宋体"/>
                <w:color w:val="000000"/>
                <w:sz w:val="18"/>
                <w:szCs w:val="18"/>
              </w:rPr>
            </w:pPr>
          </w:p>
        </w:tc>
      </w:tr>
      <w:tr>
        <w:tblPrEx>
          <w:tblCellMar>
            <w:top w:w="0" w:type="dxa"/>
            <w:left w:w="108" w:type="dxa"/>
            <w:bottom w:w="0" w:type="dxa"/>
            <w:right w:w="108" w:type="dxa"/>
          </w:tblCellMar>
        </w:tblPrEx>
        <w:trPr>
          <w:trHeight w:val="3953" w:hRule="atLeast"/>
        </w:trPr>
        <w:tc>
          <w:tcPr>
            <w:tcW w:w="551" w:type="pct"/>
            <w:vMerge w:val="continue"/>
            <w:tcBorders>
              <w:top w:val="nil"/>
              <w:left w:val="single" w:color="auto" w:sz="4" w:space="0"/>
              <w:bottom w:val="single" w:color="auto" w:sz="4" w:space="0"/>
              <w:right w:val="single" w:color="auto" w:sz="4" w:space="0"/>
            </w:tcBorders>
            <w:noWrap/>
            <w:vAlign w:val="center"/>
          </w:tcPr>
          <w:p>
            <w:pPr>
              <w:rPr>
                <w:rFonts w:ascii="宋体" w:cs="宋体"/>
                <w:sz w:val="18"/>
                <w:szCs w:val="18"/>
              </w:rPr>
            </w:pPr>
          </w:p>
        </w:tc>
        <w:tc>
          <w:tcPr>
            <w:tcW w:w="866" w:type="pct"/>
            <w:vMerge w:val="continue"/>
            <w:tcBorders>
              <w:top w:val="nil"/>
              <w:left w:val="single" w:color="auto" w:sz="4" w:space="0"/>
              <w:bottom w:val="single" w:color="auto" w:sz="4" w:space="0"/>
              <w:right w:val="single" w:color="auto" w:sz="4" w:space="0"/>
            </w:tcBorders>
            <w:noWrap/>
            <w:vAlign w:val="center"/>
          </w:tcPr>
          <w:p>
            <w:pPr>
              <w:rPr>
                <w:rFonts w:ascii="宋体" w:cs="宋体"/>
                <w:sz w:val="18"/>
                <w:szCs w:val="18"/>
              </w:rPr>
            </w:pPr>
          </w:p>
        </w:tc>
        <w:tc>
          <w:tcPr>
            <w:tcW w:w="1588" w:type="pct"/>
            <w:vMerge w:val="continue"/>
            <w:tcBorders>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p>
        </w:tc>
        <w:tc>
          <w:tcPr>
            <w:tcW w:w="1994" w:type="pct"/>
            <w:tcBorders>
              <w:top w:val="nil"/>
              <w:left w:val="nil"/>
              <w:bottom w:val="single" w:color="auto" w:sz="4" w:space="0"/>
              <w:right w:val="single" w:color="auto" w:sz="4" w:space="0"/>
            </w:tcBorders>
            <w:noWrap/>
            <w:vAlign w:val="center"/>
          </w:tcPr>
          <w:p>
            <w:pPr>
              <w:rPr>
                <w:rFonts w:ascii="宋体" w:cs="宋体"/>
                <w:color w:val="000000"/>
                <w:sz w:val="18"/>
                <w:szCs w:val="18"/>
              </w:rPr>
            </w:pPr>
            <w:r>
              <w:rPr>
                <w:rFonts w:hint="eastAsia" w:ascii="宋体" w:hAnsi="宋体" w:cs="宋体"/>
                <w:color w:val="000000"/>
                <w:sz w:val="18"/>
                <w:szCs w:val="18"/>
              </w:rPr>
              <w:t>材质要求：</w:t>
            </w:r>
          </w:p>
          <w:p>
            <w:pPr>
              <w:numPr>
                <w:ilvl w:val="0"/>
                <w:numId w:val="1"/>
              </w:numPr>
              <w:rPr>
                <w:rFonts w:ascii="宋体" w:cs="宋体"/>
                <w:color w:val="000000"/>
                <w:sz w:val="18"/>
                <w:szCs w:val="18"/>
              </w:rPr>
            </w:pPr>
            <w:r>
              <w:rPr>
                <w:rFonts w:hint="eastAsia" w:ascii="宋体" w:hAnsi="宋体" w:cs="宋体"/>
                <w:color w:val="000000"/>
                <w:sz w:val="18"/>
                <w:szCs w:val="18"/>
              </w:rPr>
              <w:t>材质：</w:t>
            </w:r>
            <w:r>
              <w:rPr>
                <w:rFonts w:ascii="宋体" w:hAnsi="宋体" w:cs="宋体"/>
                <w:color w:val="000000"/>
                <w:sz w:val="18"/>
                <w:szCs w:val="18"/>
              </w:rPr>
              <w:t>100%</w:t>
            </w:r>
            <w:r>
              <w:rPr>
                <w:rFonts w:hint="eastAsia" w:ascii="宋体" w:hAnsi="宋体" w:cs="宋体"/>
                <w:color w:val="000000"/>
                <w:sz w:val="18"/>
                <w:szCs w:val="18"/>
              </w:rPr>
              <w:t>聚酯纤维；</w:t>
            </w:r>
          </w:p>
          <w:p>
            <w:pPr>
              <w:pStyle w:val="3"/>
            </w:pPr>
            <w:r>
              <w:rPr>
                <w:rFonts w:ascii="宋体" w:eastAsia="宋体" w:cs="宋体"/>
                <w:color w:val="000000"/>
                <w:sz w:val="18"/>
                <w:szCs w:val="18"/>
              </w:rPr>
              <w:t>2</w:t>
            </w:r>
            <w:r>
              <w:rPr>
                <w:rFonts w:hint="eastAsia" w:ascii="宋体" w:eastAsia="宋体" w:cs="宋体"/>
                <w:color w:val="000000"/>
                <w:sz w:val="18"/>
                <w:szCs w:val="18"/>
              </w:rPr>
              <w:t>、甲醛含量</w:t>
            </w:r>
            <w:r>
              <w:rPr>
                <w:rFonts w:hint="eastAsia" w:ascii="宋体" w:eastAsia="宋体" w:cs="宋体"/>
                <w:sz w:val="18"/>
                <w:szCs w:val="18"/>
              </w:rPr>
              <w:t>（</w:t>
            </w:r>
            <w:r>
              <w:rPr>
                <w:rFonts w:ascii="宋体" w:eastAsia="宋体" w:cs="宋体"/>
                <w:sz w:val="18"/>
                <w:szCs w:val="18"/>
              </w:rPr>
              <w:t>mg/kg</w:t>
            </w:r>
            <w:r>
              <w:rPr>
                <w:rFonts w:hint="eastAsia" w:ascii="宋体" w:eastAsia="宋体" w:cs="宋体"/>
                <w:sz w:val="18"/>
                <w:szCs w:val="18"/>
              </w:rPr>
              <w:t>）≤</w:t>
            </w:r>
            <w:r>
              <w:rPr>
                <w:rFonts w:ascii="宋体" w:eastAsia="宋体" w:cs="宋体"/>
                <w:sz w:val="18"/>
                <w:szCs w:val="18"/>
              </w:rPr>
              <w:t>20</w:t>
            </w:r>
            <w:r>
              <w:rPr>
                <w:rFonts w:hint="eastAsia" w:ascii="宋体" w:eastAsia="宋体" w:cs="宋体"/>
                <w:color w:val="000000"/>
                <w:sz w:val="18"/>
                <w:szCs w:val="18"/>
              </w:rPr>
              <w:t>：，检验依据：</w:t>
            </w:r>
            <w:r>
              <w:rPr>
                <w:rFonts w:ascii="宋体" w:eastAsia="宋体" w:cs="宋体"/>
                <w:color w:val="000000"/>
                <w:sz w:val="18"/>
                <w:szCs w:val="18"/>
              </w:rPr>
              <w:t>GB/T 2912.1-2009;</w:t>
            </w:r>
          </w:p>
          <w:p>
            <w:pPr>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w:t>
            </w:r>
            <w:r>
              <w:rPr>
                <w:rFonts w:hint="eastAsia" w:ascii="宋体" w:hAnsi="宋体" w:cs="宋体"/>
                <w:sz w:val="18"/>
                <w:szCs w:val="18"/>
              </w:rPr>
              <w:t>可分解致癌芳香胺染料含量（</w:t>
            </w:r>
            <w:r>
              <w:rPr>
                <w:rFonts w:ascii="宋体" w:hAnsi="宋体" w:cs="宋体"/>
                <w:sz w:val="18"/>
                <w:szCs w:val="18"/>
              </w:rPr>
              <w:t>mg/kg</w:t>
            </w:r>
            <w:r>
              <w:rPr>
                <w:rFonts w:hint="eastAsia" w:ascii="宋体" w:hAnsi="宋体" w:cs="宋体"/>
                <w:sz w:val="18"/>
                <w:szCs w:val="18"/>
              </w:rPr>
              <w:t>）：</w:t>
            </w:r>
            <w:r>
              <w:rPr>
                <w:rFonts w:ascii="宋体" w:cs="宋体"/>
                <w:sz w:val="18"/>
                <w:szCs w:val="18"/>
              </w:rPr>
              <w:t>0</w:t>
            </w:r>
            <w:r>
              <w:rPr>
                <w:rFonts w:hint="eastAsia" w:ascii="宋体" w:hAnsi="宋体" w:cs="宋体"/>
                <w:sz w:val="18"/>
                <w:szCs w:val="18"/>
              </w:rPr>
              <w:t>，检验依据</w:t>
            </w:r>
            <w:r>
              <w:rPr>
                <w:rFonts w:ascii="宋体" w:hAnsi="宋体" w:cs="宋体"/>
                <w:sz w:val="18"/>
                <w:szCs w:val="18"/>
              </w:rPr>
              <w:t>:</w:t>
            </w:r>
            <w:r>
              <w:rPr>
                <w:rFonts w:ascii="宋体" w:hAnsi="宋体" w:cs="宋体"/>
                <w:color w:val="000000"/>
                <w:sz w:val="18"/>
                <w:szCs w:val="18"/>
              </w:rPr>
              <w:t>GB</w:t>
            </w:r>
            <w:r>
              <w:rPr>
                <w:rFonts w:ascii="宋体" w:cs="宋体"/>
                <w:color w:val="000000"/>
                <w:sz w:val="18"/>
                <w:szCs w:val="18"/>
              </w:rPr>
              <w:t>/T 17592-2011/</w:t>
            </w:r>
            <w:r>
              <w:rPr>
                <w:rFonts w:ascii="宋体" w:hAnsi="宋体" w:cs="宋体"/>
                <w:color w:val="000000"/>
                <w:sz w:val="18"/>
                <w:szCs w:val="18"/>
              </w:rPr>
              <w:t>GB</w:t>
            </w:r>
            <w:r>
              <w:rPr>
                <w:rFonts w:ascii="宋体" w:cs="宋体"/>
                <w:color w:val="000000"/>
                <w:sz w:val="18"/>
                <w:szCs w:val="18"/>
              </w:rPr>
              <w:t>/T 23344-2009;</w:t>
            </w:r>
          </w:p>
          <w:p>
            <w:pPr>
              <w:rPr>
                <w:rFonts w:ascii="宋体" w:cs="宋体"/>
                <w:sz w:val="18"/>
                <w:szCs w:val="18"/>
              </w:rPr>
            </w:pPr>
            <w:r>
              <w:rPr>
                <w:rFonts w:ascii="宋体" w:hAnsi="宋体" w:cs="宋体"/>
                <w:sz w:val="18"/>
                <w:szCs w:val="18"/>
              </w:rPr>
              <w:t>4</w:t>
            </w:r>
            <w:r>
              <w:rPr>
                <w:rFonts w:hint="eastAsia" w:ascii="宋体" w:hAnsi="宋体" w:cs="宋体"/>
                <w:sz w:val="18"/>
                <w:szCs w:val="18"/>
              </w:rPr>
              <w:t>、致敏性分散染料含量（</w:t>
            </w:r>
            <w:r>
              <w:rPr>
                <w:rFonts w:ascii="宋体" w:hAnsi="宋体" w:cs="宋体"/>
                <w:sz w:val="18"/>
                <w:szCs w:val="18"/>
              </w:rPr>
              <w:t>mg/kg</w:t>
            </w:r>
            <w:r>
              <w:rPr>
                <w:rFonts w:hint="eastAsia" w:ascii="宋体" w:hAnsi="宋体" w:cs="宋体"/>
                <w:sz w:val="18"/>
                <w:szCs w:val="18"/>
              </w:rPr>
              <w:t>）：</w:t>
            </w:r>
            <w:r>
              <w:rPr>
                <w:rFonts w:ascii="宋体" w:cs="宋体"/>
                <w:sz w:val="18"/>
                <w:szCs w:val="18"/>
              </w:rPr>
              <w:t>0,</w:t>
            </w:r>
            <w:r>
              <w:rPr>
                <w:rFonts w:hint="eastAsia" w:ascii="宋体" w:hAnsi="宋体" w:cs="宋体"/>
                <w:sz w:val="18"/>
                <w:szCs w:val="18"/>
              </w:rPr>
              <w:t>检验依据：</w:t>
            </w:r>
            <w:r>
              <w:rPr>
                <w:rFonts w:ascii="宋体" w:hAnsi="宋体" w:cs="宋体"/>
                <w:sz w:val="18"/>
                <w:szCs w:val="18"/>
              </w:rPr>
              <w:t>GB/T 20383-2006</w:t>
            </w:r>
            <w:r>
              <w:rPr>
                <w:rFonts w:hint="eastAsia" w:ascii="宋体" w:hAnsi="宋体" w:cs="宋体"/>
                <w:sz w:val="18"/>
                <w:szCs w:val="18"/>
              </w:rPr>
              <w:t>；</w:t>
            </w:r>
          </w:p>
          <w:p>
            <w:pPr>
              <w:pStyle w:val="3"/>
              <w:rPr>
                <w:rFonts w:ascii="宋体" w:eastAsia="宋体" w:cs="宋体"/>
                <w:sz w:val="18"/>
                <w:szCs w:val="18"/>
              </w:rPr>
            </w:pPr>
            <w:r>
              <w:rPr>
                <w:rFonts w:ascii="宋体" w:eastAsia="宋体" w:cs="宋体"/>
                <w:sz w:val="18"/>
                <w:szCs w:val="18"/>
              </w:rPr>
              <w:t>5</w:t>
            </w:r>
            <w:r>
              <w:rPr>
                <w:rFonts w:hint="eastAsia" w:ascii="宋体" w:eastAsia="宋体" w:cs="宋体"/>
                <w:sz w:val="18"/>
                <w:szCs w:val="18"/>
              </w:rPr>
              <w:t>、耐酸斑色牢度（级）：</w:t>
            </w:r>
            <w:r>
              <w:rPr>
                <w:rFonts w:ascii="宋体" w:eastAsia="宋体" w:cs="宋体"/>
                <w:sz w:val="18"/>
                <w:szCs w:val="18"/>
              </w:rPr>
              <w:t>4-5</w:t>
            </w:r>
            <w:r>
              <w:rPr>
                <w:rFonts w:hint="eastAsia" w:ascii="宋体" w:eastAsia="宋体" w:cs="宋体"/>
                <w:sz w:val="18"/>
                <w:szCs w:val="18"/>
              </w:rPr>
              <w:t>级，检验依据：</w:t>
            </w:r>
            <w:r>
              <w:rPr>
                <w:rFonts w:ascii="宋体" w:eastAsia="宋体" w:cs="宋体"/>
                <w:sz w:val="18"/>
                <w:szCs w:val="18"/>
              </w:rPr>
              <w:t>GB/T 5715-2013</w:t>
            </w:r>
            <w:r>
              <w:rPr>
                <w:rFonts w:hint="eastAsia" w:ascii="宋体" w:eastAsia="宋体" w:cs="宋体"/>
                <w:sz w:val="18"/>
                <w:szCs w:val="18"/>
              </w:rPr>
              <w:t>；</w:t>
            </w:r>
            <w:r>
              <w:rPr>
                <w:rFonts w:ascii="宋体" w:eastAsia="宋体" w:cs="宋体"/>
                <w:sz w:val="18"/>
                <w:szCs w:val="18"/>
              </w:rPr>
              <w:t xml:space="preserve"> </w:t>
            </w:r>
          </w:p>
          <w:p>
            <w:pPr>
              <w:pStyle w:val="3"/>
            </w:pPr>
            <w:r>
              <w:rPr>
                <w:rFonts w:hint="eastAsia" w:ascii="宋体" w:eastAsia="宋体" w:cs="宋体"/>
                <w:sz w:val="18"/>
                <w:szCs w:val="18"/>
              </w:rPr>
              <w:t>★</w:t>
            </w:r>
            <w:r>
              <w:rPr>
                <w:rFonts w:ascii="宋体" w:eastAsia="宋体" w:cs="宋体"/>
                <w:sz w:val="18"/>
                <w:szCs w:val="18"/>
              </w:rPr>
              <w:t>6</w:t>
            </w:r>
            <w:r>
              <w:rPr>
                <w:rFonts w:hint="eastAsia" w:ascii="宋体" w:eastAsia="宋体" w:cs="宋体"/>
                <w:sz w:val="18"/>
                <w:szCs w:val="18"/>
              </w:rPr>
              <w:t>、酚黄变（级）：</w:t>
            </w:r>
            <w:r>
              <w:rPr>
                <w:rFonts w:ascii="宋体" w:eastAsia="宋体" w:cs="宋体"/>
                <w:sz w:val="18"/>
                <w:szCs w:val="18"/>
              </w:rPr>
              <w:t>4-5</w:t>
            </w:r>
            <w:r>
              <w:rPr>
                <w:rFonts w:hint="eastAsia" w:ascii="宋体" w:eastAsia="宋体" w:cs="宋体"/>
                <w:sz w:val="18"/>
                <w:szCs w:val="18"/>
              </w:rPr>
              <w:t>级，检验依据：</w:t>
            </w:r>
            <w:r>
              <w:rPr>
                <w:rFonts w:ascii="宋体" w:eastAsia="宋体" w:cs="宋体"/>
                <w:sz w:val="18"/>
                <w:szCs w:val="18"/>
              </w:rPr>
              <w:t>GB/T 29778-2013</w:t>
            </w:r>
            <w:r>
              <w:rPr>
                <w:rFonts w:hint="eastAsia" w:ascii="宋体" w:eastAsia="宋体" w:cs="宋体"/>
                <w:sz w:val="18"/>
                <w:szCs w:val="18"/>
              </w:rPr>
              <w:t>；</w:t>
            </w:r>
          </w:p>
          <w:p>
            <w:pP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7</w:t>
            </w:r>
            <w:r>
              <w:rPr>
                <w:rFonts w:hint="eastAsia" w:ascii="宋体" w:hAnsi="宋体" w:cs="宋体"/>
                <w:color w:val="000000"/>
                <w:sz w:val="18"/>
                <w:szCs w:val="18"/>
              </w:rPr>
              <w:t>、</w:t>
            </w:r>
            <w:r>
              <w:rPr>
                <w:rFonts w:hint="eastAsia" w:ascii="宋体" w:hAnsi="宋体" w:cs="宋体"/>
                <w:sz w:val="18"/>
                <w:szCs w:val="18"/>
              </w:rPr>
              <w:t>阻燃性</w:t>
            </w:r>
            <w:r>
              <w:rPr>
                <w:rFonts w:hint="eastAsia" w:ascii="宋体" w:hAnsi="宋体" w:cs="宋体"/>
                <w:color w:val="000000"/>
                <w:sz w:val="18"/>
                <w:szCs w:val="18"/>
              </w:rPr>
              <w:t>：</w:t>
            </w:r>
            <w:r>
              <w:rPr>
                <w:rFonts w:ascii="宋体" w:hAnsi="宋体" w:cs="宋体"/>
                <w:color w:val="000000"/>
                <w:sz w:val="18"/>
                <w:szCs w:val="18"/>
              </w:rPr>
              <w:t>B1</w:t>
            </w:r>
            <w:r>
              <w:rPr>
                <w:rFonts w:hint="eastAsia" w:ascii="宋体" w:hAnsi="宋体" w:cs="宋体"/>
                <w:color w:val="000000"/>
                <w:sz w:val="18"/>
                <w:szCs w:val="18"/>
              </w:rPr>
              <w:t>级，检验依据：</w:t>
            </w:r>
            <w:r>
              <w:rPr>
                <w:rFonts w:ascii="宋体" w:hAnsi="宋体" w:cs="宋体"/>
                <w:color w:val="000000"/>
                <w:sz w:val="18"/>
                <w:szCs w:val="18"/>
              </w:rPr>
              <w:t>GB 20286-2006/GB 8624-2012 B1</w:t>
            </w:r>
            <w:r>
              <w:rPr>
                <w:rFonts w:hint="eastAsia" w:ascii="宋体" w:hAnsi="宋体" w:cs="宋体"/>
                <w:color w:val="000000"/>
                <w:sz w:val="18"/>
                <w:szCs w:val="18"/>
              </w:rPr>
              <w:t>标准；</w:t>
            </w:r>
          </w:p>
          <w:p>
            <w:pPr>
              <w:rPr>
                <w:rFonts w:ascii="宋体" w:cs="宋体"/>
                <w:color w:val="000000"/>
                <w:sz w:val="18"/>
                <w:szCs w:val="18"/>
              </w:rPr>
            </w:pPr>
            <w:r>
              <w:rPr>
                <w:rFonts w:hint="eastAsia" w:ascii="宋体" w:hAnsi="宋体" w:cs="宋体"/>
                <w:color w:val="000000"/>
                <w:sz w:val="18"/>
                <w:szCs w:val="18"/>
              </w:rPr>
              <w:t>提供有资质的第三方检测机构出具的有效的检测报告复印件并加盖投标人公章，原件备查</w:t>
            </w:r>
          </w:p>
        </w:tc>
      </w:tr>
      <w:tr>
        <w:tblPrEx>
          <w:tblCellMar>
            <w:top w:w="0" w:type="dxa"/>
            <w:left w:w="108" w:type="dxa"/>
            <w:bottom w:w="0" w:type="dxa"/>
            <w:right w:w="108" w:type="dxa"/>
          </w:tblCellMar>
        </w:tblPrEx>
        <w:trPr>
          <w:trHeight w:val="5780" w:hRule="atLeast"/>
        </w:trPr>
        <w:tc>
          <w:tcPr>
            <w:tcW w:w="551"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服务大厅</w:t>
            </w:r>
          </w:p>
        </w:tc>
        <w:tc>
          <w:tcPr>
            <w:tcW w:w="866" w:type="pct"/>
            <w:tcBorders>
              <w:top w:val="single" w:color="auto" w:sz="4" w:space="0"/>
              <w:left w:val="single" w:color="auto" w:sz="4" w:space="0"/>
              <w:bottom w:val="single" w:color="auto" w:sz="4" w:space="0"/>
              <w:right w:val="single" w:color="auto" w:sz="4" w:space="0"/>
            </w:tcBorders>
            <w:noWrap/>
            <w:vAlign w:val="center"/>
          </w:tcPr>
          <w:p>
            <w:pPr>
              <w:rPr>
                <w:rFonts w:ascii="宋体" w:cs="宋体"/>
                <w:sz w:val="18"/>
                <w:szCs w:val="18"/>
              </w:rPr>
            </w:pPr>
            <w:r>
              <w:rPr>
                <w:rFonts w:hint="eastAsia" w:ascii="宋体" w:hAnsi="宋体" w:cs="宋体"/>
                <w:sz w:val="18"/>
                <w:szCs w:val="18"/>
              </w:rPr>
              <w:t>手动遮</w:t>
            </w:r>
          </w:p>
          <w:p>
            <w:pPr>
              <w:rPr>
                <w:rFonts w:ascii="宋体" w:cs="宋体"/>
                <w:sz w:val="18"/>
                <w:szCs w:val="18"/>
              </w:rPr>
            </w:pPr>
            <w:r>
              <w:rPr>
                <w:rFonts w:hint="eastAsia" w:ascii="宋体" w:hAnsi="宋体" w:cs="宋体"/>
                <w:sz w:val="18"/>
                <w:szCs w:val="18"/>
              </w:rPr>
              <w:t>光卷帘</w:t>
            </w:r>
          </w:p>
        </w:tc>
        <w:tc>
          <w:tcPr>
            <w:tcW w:w="158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p>
          <w:p>
            <w:pPr>
              <w:jc w:val="center"/>
              <w:rPr>
                <w:rFonts w:ascii="宋体" w:cs="宋体"/>
                <w:color w:val="000000"/>
                <w:sz w:val="18"/>
                <w:szCs w:val="18"/>
              </w:rPr>
            </w:pPr>
            <w:r>
              <w:rPr>
                <w:rFonts w:hint="eastAsia" w:ascii="宋体" w:cs="宋体"/>
              </w:rPr>
              <w:drawing>
                <wp:inline distT="0" distB="0" distL="114300" distR="114300">
                  <wp:extent cx="1550670" cy="1230630"/>
                  <wp:effectExtent l="0" t="0" r="11430" b="7620"/>
                  <wp:docPr id="5" name="图片 2" descr="c96dacb4b09f10ddc374cca6395b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96dacb4b09f10ddc374cca6395bd9c"/>
                          <pic:cNvPicPr>
                            <a:picLocks noChangeAspect="1"/>
                          </pic:cNvPicPr>
                        </pic:nvPicPr>
                        <pic:blipFill>
                          <a:blip r:embed="rId5"/>
                          <a:stretch>
                            <a:fillRect/>
                          </a:stretch>
                        </pic:blipFill>
                        <pic:spPr>
                          <a:xfrm>
                            <a:off x="0" y="0"/>
                            <a:ext cx="1550670" cy="1230630"/>
                          </a:xfrm>
                          <a:prstGeom prst="rect">
                            <a:avLst/>
                          </a:prstGeom>
                          <a:noFill/>
                          <a:ln>
                            <a:noFill/>
                          </a:ln>
                        </pic:spPr>
                      </pic:pic>
                    </a:graphicData>
                  </a:graphic>
                </wp:inline>
              </w:drawing>
            </w:r>
          </w:p>
          <w:p>
            <w:pPr>
              <w:jc w:val="center"/>
              <w:rPr>
                <w:rFonts w:ascii="宋体" w:cs="宋体"/>
                <w:color w:val="000000"/>
                <w:sz w:val="18"/>
                <w:szCs w:val="18"/>
              </w:rPr>
            </w:pPr>
          </w:p>
        </w:tc>
        <w:tc>
          <w:tcPr>
            <w:tcW w:w="1994" w:type="pct"/>
            <w:tcBorders>
              <w:top w:val="single" w:color="auto" w:sz="4" w:space="0"/>
              <w:left w:val="single" w:color="auto" w:sz="4" w:space="0"/>
              <w:bottom w:val="single" w:color="auto" w:sz="4" w:space="0"/>
              <w:right w:val="single" w:color="auto" w:sz="4" w:space="0"/>
            </w:tcBorders>
            <w:noWrap/>
            <w:vAlign w:val="center"/>
          </w:tcPr>
          <w:p>
            <w:pPr>
              <w:rPr>
                <w:rFonts w:ascii="宋体" w:cs="宋体"/>
                <w:color w:val="000000"/>
                <w:sz w:val="18"/>
                <w:szCs w:val="18"/>
              </w:rPr>
            </w:pPr>
            <w:r>
              <w:rPr>
                <w:rFonts w:ascii="宋体" w:hAnsi="宋体" w:cs="宋体"/>
                <w:color w:val="000000"/>
                <w:sz w:val="18"/>
                <w:szCs w:val="18"/>
              </w:rPr>
              <w:t xml:space="preserve">                                                                                                                    </w:t>
            </w:r>
            <w:r>
              <w:rPr>
                <w:rFonts w:hint="eastAsia" w:ascii="宋体" w:hAnsi="宋体" w:cs="宋体"/>
                <w:color w:val="000000"/>
                <w:sz w:val="18"/>
                <w:szCs w:val="18"/>
              </w:rPr>
              <w:t>帘布要求：</w:t>
            </w:r>
          </w:p>
          <w:p>
            <w:pP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、材质：</w:t>
            </w:r>
            <w:r>
              <w:rPr>
                <w:rFonts w:ascii="宋体" w:hAnsi="宋体" w:cs="宋体"/>
                <w:color w:val="000000"/>
                <w:sz w:val="18"/>
                <w:szCs w:val="18"/>
              </w:rPr>
              <w:t>100%</w:t>
            </w:r>
            <w:r>
              <w:rPr>
                <w:rFonts w:hint="eastAsia" w:ascii="宋体" w:hAnsi="宋体" w:cs="宋体"/>
                <w:color w:val="000000"/>
                <w:sz w:val="18"/>
                <w:szCs w:val="18"/>
              </w:rPr>
              <w:t>聚酯纤维；</w:t>
            </w:r>
          </w:p>
          <w:p>
            <w:pPr>
              <w:pStyle w:val="3"/>
            </w:pPr>
            <w:r>
              <w:rPr>
                <w:rFonts w:ascii="宋体" w:eastAsia="宋体" w:cs="宋体"/>
                <w:color w:val="000000"/>
                <w:sz w:val="18"/>
                <w:szCs w:val="18"/>
              </w:rPr>
              <w:t>2</w:t>
            </w:r>
            <w:r>
              <w:rPr>
                <w:rFonts w:hint="eastAsia" w:ascii="宋体" w:eastAsia="宋体" w:cs="宋体"/>
                <w:color w:val="000000"/>
                <w:sz w:val="18"/>
                <w:szCs w:val="18"/>
              </w:rPr>
              <w:t>、甲醛含量</w:t>
            </w:r>
            <w:r>
              <w:rPr>
                <w:rFonts w:hint="eastAsia" w:ascii="宋体" w:eastAsia="宋体" w:cs="宋体"/>
                <w:sz w:val="18"/>
                <w:szCs w:val="18"/>
              </w:rPr>
              <w:t>（</w:t>
            </w:r>
            <w:r>
              <w:rPr>
                <w:rFonts w:ascii="宋体" w:eastAsia="宋体" w:cs="宋体"/>
                <w:sz w:val="18"/>
                <w:szCs w:val="18"/>
              </w:rPr>
              <w:t>mg/kg</w:t>
            </w:r>
            <w:r>
              <w:rPr>
                <w:rFonts w:hint="eastAsia" w:ascii="宋体" w:eastAsia="宋体" w:cs="宋体"/>
                <w:sz w:val="18"/>
                <w:szCs w:val="18"/>
              </w:rPr>
              <w:t>）≤</w:t>
            </w:r>
            <w:r>
              <w:rPr>
                <w:rFonts w:ascii="宋体" w:eastAsia="宋体" w:cs="宋体"/>
                <w:sz w:val="18"/>
                <w:szCs w:val="18"/>
              </w:rPr>
              <w:t>20</w:t>
            </w:r>
            <w:r>
              <w:rPr>
                <w:rFonts w:hint="eastAsia" w:ascii="宋体" w:eastAsia="宋体" w:cs="宋体"/>
                <w:color w:val="000000"/>
                <w:sz w:val="18"/>
                <w:szCs w:val="18"/>
              </w:rPr>
              <w:t>，检验依据：</w:t>
            </w:r>
            <w:r>
              <w:rPr>
                <w:rFonts w:ascii="宋体" w:eastAsia="宋体" w:cs="宋体"/>
                <w:color w:val="000000"/>
                <w:sz w:val="18"/>
                <w:szCs w:val="18"/>
              </w:rPr>
              <w:t>GB/T 2912.1-2009;</w:t>
            </w:r>
          </w:p>
          <w:p>
            <w:pPr>
              <w:rPr>
                <w:rFonts w:ascii="宋体" w:cs="宋体"/>
                <w:color w:val="000000"/>
                <w:sz w:val="18"/>
                <w:szCs w:val="18"/>
              </w:rPr>
            </w:pPr>
            <w:r>
              <w:rPr>
                <w:rFonts w:ascii="宋体" w:hAnsi="宋体" w:cs="宋体"/>
                <w:color w:val="000000"/>
                <w:sz w:val="18"/>
                <w:szCs w:val="18"/>
              </w:rPr>
              <w:t>3</w:t>
            </w:r>
            <w:r>
              <w:rPr>
                <w:rFonts w:hint="eastAsia" w:ascii="宋体" w:hAnsi="宋体" w:cs="宋体"/>
                <w:color w:val="000000"/>
                <w:sz w:val="18"/>
                <w:szCs w:val="18"/>
              </w:rPr>
              <w:t>、</w:t>
            </w:r>
            <w:r>
              <w:rPr>
                <w:rFonts w:hint="eastAsia" w:ascii="宋体" w:hAnsi="宋体" w:cs="宋体"/>
                <w:sz w:val="18"/>
                <w:szCs w:val="18"/>
              </w:rPr>
              <w:t>可分解致癌芳香胺染料含量（</w:t>
            </w:r>
            <w:r>
              <w:rPr>
                <w:rFonts w:ascii="宋体" w:hAnsi="宋体" w:cs="宋体"/>
                <w:sz w:val="18"/>
                <w:szCs w:val="18"/>
              </w:rPr>
              <w:t>mg/kg</w:t>
            </w:r>
            <w:r>
              <w:rPr>
                <w:rFonts w:hint="eastAsia" w:ascii="宋体" w:hAnsi="宋体" w:cs="宋体"/>
                <w:sz w:val="18"/>
                <w:szCs w:val="18"/>
              </w:rPr>
              <w:t>）：</w:t>
            </w:r>
            <w:r>
              <w:rPr>
                <w:rFonts w:ascii="宋体" w:cs="宋体"/>
                <w:sz w:val="18"/>
                <w:szCs w:val="18"/>
              </w:rPr>
              <w:t>0</w:t>
            </w:r>
            <w:r>
              <w:rPr>
                <w:rFonts w:hint="eastAsia" w:ascii="宋体" w:hAnsi="宋体" w:cs="宋体"/>
                <w:sz w:val="18"/>
                <w:szCs w:val="18"/>
              </w:rPr>
              <w:t>，检验依据</w:t>
            </w:r>
            <w:r>
              <w:rPr>
                <w:rFonts w:ascii="宋体" w:hAnsi="宋体" w:cs="宋体"/>
                <w:sz w:val="18"/>
                <w:szCs w:val="18"/>
              </w:rPr>
              <w:t>:</w:t>
            </w:r>
            <w:r>
              <w:rPr>
                <w:rFonts w:ascii="宋体" w:hAnsi="宋体" w:cs="宋体"/>
                <w:color w:val="000000"/>
                <w:sz w:val="18"/>
                <w:szCs w:val="18"/>
              </w:rPr>
              <w:t>GB</w:t>
            </w:r>
            <w:r>
              <w:rPr>
                <w:rFonts w:ascii="宋体" w:cs="宋体"/>
                <w:color w:val="000000"/>
                <w:sz w:val="18"/>
                <w:szCs w:val="18"/>
              </w:rPr>
              <w:t>/T 17592-2011</w:t>
            </w:r>
            <w:r>
              <w:rPr>
                <w:rFonts w:hint="eastAsia" w:ascii="宋体" w:cs="宋体"/>
                <w:color w:val="000000"/>
                <w:sz w:val="18"/>
                <w:szCs w:val="18"/>
              </w:rPr>
              <w:t>，</w:t>
            </w:r>
            <w:r>
              <w:rPr>
                <w:rFonts w:ascii="宋体" w:hAnsi="宋体" w:cs="宋体"/>
                <w:color w:val="000000"/>
                <w:sz w:val="18"/>
                <w:szCs w:val="18"/>
              </w:rPr>
              <w:t>GB</w:t>
            </w:r>
            <w:r>
              <w:rPr>
                <w:rFonts w:ascii="宋体" w:cs="宋体"/>
                <w:color w:val="000000"/>
                <w:sz w:val="18"/>
                <w:szCs w:val="18"/>
              </w:rPr>
              <w:t>/T 23344-2009;</w:t>
            </w:r>
          </w:p>
          <w:p>
            <w:pPr>
              <w:pStyle w:val="3"/>
            </w:pPr>
            <w:r>
              <w:rPr>
                <w:rFonts w:hint="eastAsia" w:ascii="宋体" w:eastAsia="宋体" w:cs="宋体"/>
                <w:color w:val="000000"/>
                <w:sz w:val="18"/>
                <w:szCs w:val="18"/>
              </w:rPr>
              <w:t>★</w:t>
            </w:r>
            <w:r>
              <w:rPr>
                <w:rFonts w:ascii="宋体" w:eastAsia="宋体" w:cs="宋体"/>
                <w:color w:val="000000"/>
                <w:sz w:val="18"/>
                <w:szCs w:val="18"/>
              </w:rPr>
              <w:t>4</w:t>
            </w:r>
            <w:r>
              <w:rPr>
                <w:rFonts w:hint="eastAsia" w:ascii="宋体" w:eastAsia="宋体" w:cs="宋体"/>
                <w:color w:val="000000"/>
                <w:sz w:val="18"/>
                <w:szCs w:val="18"/>
              </w:rPr>
              <w:t>、</w:t>
            </w:r>
            <w:r>
              <w:rPr>
                <w:rFonts w:hint="eastAsia" w:ascii="宋体" w:eastAsia="宋体" w:cs="宋体"/>
                <w:sz w:val="18"/>
                <w:szCs w:val="18"/>
              </w:rPr>
              <w:t>可萃取重金属（</w:t>
            </w:r>
            <w:r>
              <w:rPr>
                <w:rFonts w:ascii="宋体" w:eastAsia="宋体" w:cs="宋体"/>
                <w:sz w:val="18"/>
                <w:szCs w:val="18"/>
              </w:rPr>
              <w:t>mg/kg</w:t>
            </w:r>
            <w:r>
              <w:rPr>
                <w:rFonts w:hint="eastAsia" w:ascii="宋体" w:eastAsia="宋体" w:cs="宋体"/>
                <w:sz w:val="18"/>
                <w:szCs w:val="18"/>
              </w:rPr>
              <w:t>）：</w:t>
            </w:r>
            <w:r>
              <w:rPr>
                <w:rFonts w:ascii="宋体" w:eastAsia="宋体" w:cs="宋体"/>
                <w:sz w:val="18"/>
                <w:szCs w:val="18"/>
              </w:rPr>
              <w:t>0</w:t>
            </w:r>
            <w:r>
              <w:rPr>
                <w:rFonts w:hint="eastAsia" w:ascii="宋体" w:eastAsia="宋体" w:cs="宋体"/>
                <w:sz w:val="18"/>
                <w:szCs w:val="18"/>
              </w:rPr>
              <w:t>，检验依据：</w:t>
            </w:r>
            <w:r>
              <w:rPr>
                <w:rFonts w:ascii="宋体" w:eastAsia="宋体" w:cs="宋体"/>
                <w:sz w:val="18"/>
                <w:szCs w:val="18"/>
              </w:rPr>
              <w:t>GB/T 17593.4-2006</w:t>
            </w:r>
            <w:r>
              <w:rPr>
                <w:rFonts w:hint="eastAsia" w:ascii="宋体" w:eastAsia="宋体" w:cs="宋体"/>
                <w:sz w:val="18"/>
                <w:szCs w:val="18"/>
              </w:rPr>
              <w:t>；</w:t>
            </w:r>
          </w:p>
          <w:p>
            <w:pPr>
              <w:rPr>
                <w:rFonts w:ascii="宋体" w:cs="宋体"/>
                <w:sz w:val="18"/>
                <w:szCs w:val="18"/>
              </w:rPr>
            </w:pPr>
            <w:r>
              <w:rPr>
                <w:rFonts w:ascii="宋体" w:hAnsi="宋体" w:cs="宋体"/>
                <w:sz w:val="18"/>
                <w:szCs w:val="18"/>
              </w:rPr>
              <w:t>5</w:t>
            </w:r>
            <w:r>
              <w:rPr>
                <w:rFonts w:hint="eastAsia" w:ascii="宋体" w:hAnsi="宋体" w:cs="宋体"/>
                <w:sz w:val="18"/>
                <w:szCs w:val="18"/>
              </w:rPr>
              <w:t>、致敏性分散染料含量（</w:t>
            </w:r>
            <w:r>
              <w:rPr>
                <w:rFonts w:ascii="宋体" w:hAnsi="宋体" w:cs="宋体"/>
                <w:sz w:val="18"/>
                <w:szCs w:val="18"/>
              </w:rPr>
              <w:t>mg/kg</w:t>
            </w:r>
            <w:r>
              <w:rPr>
                <w:rFonts w:hint="eastAsia" w:ascii="宋体" w:hAnsi="宋体" w:cs="宋体"/>
                <w:sz w:val="18"/>
                <w:szCs w:val="18"/>
              </w:rPr>
              <w:t>）：</w:t>
            </w:r>
            <w:r>
              <w:rPr>
                <w:rFonts w:ascii="宋体" w:cs="宋体"/>
                <w:sz w:val="18"/>
                <w:szCs w:val="18"/>
              </w:rPr>
              <w:t>0,</w:t>
            </w:r>
            <w:r>
              <w:rPr>
                <w:rFonts w:hint="eastAsia" w:ascii="宋体" w:hAnsi="宋体" w:cs="宋体"/>
                <w:sz w:val="18"/>
                <w:szCs w:val="18"/>
              </w:rPr>
              <w:t>检验依据：</w:t>
            </w:r>
            <w:r>
              <w:rPr>
                <w:rFonts w:ascii="宋体" w:hAnsi="宋体" w:cs="宋体"/>
                <w:sz w:val="18"/>
                <w:szCs w:val="18"/>
              </w:rPr>
              <w:t>GB/T 20383-2006</w:t>
            </w:r>
            <w:r>
              <w:rPr>
                <w:rFonts w:hint="eastAsia" w:ascii="宋体" w:hAnsi="宋体" w:cs="宋体"/>
                <w:sz w:val="18"/>
                <w:szCs w:val="18"/>
              </w:rPr>
              <w:t>；</w:t>
            </w:r>
          </w:p>
          <w:p>
            <w:pPr>
              <w:pStyle w:val="3"/>
              <w:rPr>
                <w:rFonts w:ascii="宋体" w:eastAsia="宋体" w:cs="宋体"/>
                <w:sz w:val="18"/>
                <w:szCs w:val="18"/>
              </w:rPr>
            </w:pPr>
            <w:r>
              <w:rPr>
                <w:rFonts w:hint="eastAsia" w:ascii="宋体" w:eastAsia="宋体" w:cs="宋体"/>
                <w:sz w:val="18"/>
                <w:szCs w:val="18"/>
              </w:rPr>
              <w:t>★</w:t>
            </w:r>
            <w:r>
              <w:rPr>
                <w:rFonts w:ascii="宋体" w:eastAsia="宋体" w:cs="宋体"/>
                <w:sz w:val="18"/>
                <w:szCs w:val="18"/>
              </w:rPr>
              <w:t>6</w:t>
            </w:r>
            <w:r>
              <w:rPr>
                <w:rFonts w:hint="eastAsia" w:ascii="宋体" w:eastAsia="宋体" w:cs="宋体"/>
                <w:sz w:val="18"/>
                <w:szCs w:val="18"/>
              </w:rPr>
              <w:t>、耐酸斑色牢度（级）：</w:t>
            </w:r>
            <w:r>
              <w:rPr>
                <w:rFonts w:ascii="宋体" w:eastAsia="宋体" w:cs="宋体"/>
                <w:sz w:val="18"/>
                <w:szCs w:val="18"/>
              </w:rPr>
              <w:t>4-5</w:t>
            </w:r>
            <w:r>
              <w:rPr>
                <w:rFonts w:hint="eastAsia" w:ascii="宋体" w:eastAsia="宋体" w:cs="宋体"/>
                <w:sz w:val="18"/>
                <w:szCs w:val="18"/>
              </w:rPr>
              <w:t>级，检验依据：</w:t>
            </w:r>
            <w:r>
              <w:rPr>
                <w:rFonts w:ascii="宋体" w:eastAsia="宋体" w:cs="宋体"/>
                <w:sz w:val="18"/>
                <w:szCs w:val="18"/>
              </w:rPr>
              <w:t>GB/T 5715-2013</w:t>
            </w:r>
            <w:r>
              <w:rPr>
                <w:rFonts w:hint="eastAsia" w:ascii="宋体" w:eastAsia="宋体" w:cs="宋体"/>
                <w:sz w:val="18"/>
                <w:szCs w:val="18"/>
              </w:rPr>
              <w:t>；</w:t>
            </w:r>
            <w:r>
              <w:rPr>
                <w:rFonts w:ascii="宋体" w:eastAsia="宋体" w:cs="宋体"/>
                <w:sz w:val="18"/>
                <w:szCs w:val="18"/>
              </w:rPr>
              <w:t xml:space="preserve"> </w:t>
            </w:r>
          </w:p>
          <w:p>
            <w:pPr>
              <w:pStyle w:val="3"/>
            </w:pPr>
            <w:r>
              <w:rPr>
                <w:rFonts w:hint="eastAsia" w:ascii="宋体" w:eastAsia="宋体" w:cs="宋体"/>
                <w:sz w:val="18"/>
                <w:szCs w:val="18"/>
              </w:rPr>
              <w:t>★</w:t>
            </w:r>
            <w:r>
              <w:rPr>
                <w:rFonts w:ascii="宋体" w:eastAsia="宋体" w:cs="宋体"/>
                <w:sz w:val="18"/>
                <w:szCs w:val="18"/>
              </w:rPr>
              <w:t>7</w:t>
            </w:r>
            <w:r>
              <w:rPr>
                <w:rFonts w:hint="eastAsia" w:ascii="宋体" w:eastAsia="宋体" w:cs="宋体"/>
                <w:sz w:val="18"/>
                <w:szCs w:val="18"/>
              </w:rPr>
              <w:t>、酚黄变（级）：</w:t>
            </w:r>
            <w:r>
              <w:rPr>
                <w:rFonts w:ascii="宋体" w:eastAsia="宋体" w:cs="宋体"/>
                <w:sz w:val="18"/>
                <w:szCs w:val="18"/>
              </w:rPr>
              <w:t>4-5</w:t>
            </w:r>
            <w:r>
              <w:rPr>
                <w:rFonts w:hint="eastAsia" w:ascii="宋体" w:eastAsia="宋体" w:cs="宋体"/>
                <w:sz w:val="18"/>
                <w:szCs w:val="18"/>
              </w:rPr>
              <w:t>级，检验依据：</w:t>
            </w:r>
            <w:r>
              <w:rPr>
                <w:rFonts w:ascii="宋体" w:eastAsia="宋体" w:cs="宋体"/>
                <w:sz w:val="18"/>
                <w:szCs w:val="18"/>
              </w:rPr>
              <w:t>GB/T 29778-2013</w:t>
            </w:r>
            <w:r>
              <w:rPr>
                <w:rFonts w:hint="eastAsia" w:ascii="宋体" w:eastAsia="宋体" w:cs="宋体"/>
                <w:sz w:val="18"/>
                <w:szCs w:val="18"/>
              </w:rPr>
              <w:t>；</w:t>
            </w:r>
          </w:p>
          <w:p>
            <w:pP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w:t>
            </w:r>
            <w:r>
              <w:rPr>
                <w:rFonts w:hint="eastAsia" w:ascii="宋体" w:hAnsi="宋体" w:cs="宋体"/>
                <w:color w:val="000000"/>
                <w:sz w:val="18"/>
                <w:szCs w:val="18"/>
              </w:rPr>
              <w:t>、</w:t>
            </w:r>
            <w:r>
              <w:rPr>
                <w:rFonts w:hint="eastAsia" w:ascii="宋体" w:hAnsi="宋体" w:cs="宋体"/>
                <w:sz w:val="18"/>
                <w:szCs w:val="18"/>
              </w:rPr>
              <w:t>阻燃性</w:t>
            </w:r>
            <w:r>
              <w:rPr>
                <w:rFonts w:hint="eastAsia" w:ascii="宋体" w:hAnsi="宋体" w:cs="宋体"/>
                <w:color w:val="000000"/>
                <w:sz w:val="18"/>
                <w:szCs w:val="18"/>
              </w:rPr>
              <w:t>：</w:t>
            </w:r>
            <w:r>
              <w:rPr>
                <w:rFonts w:ascii="宋体" w:hAnsi="宋体" w:cs="宋体"/>
                <w:color w:val="000000"/>
                <w:sz w:val="18"/>
                <w:szCs w:val="18"/>
              </w:rPr>
              <w:t>B1</w:t>
            </w:r>
            <w:r>
              <w:rPr>
                <w:rFonts w:hint="eastAsia" w:ascii="宋体" w:hAnsi="宋体" w:cs="宋体"/>
                <w:color w:val="000000"/>
                <w:sz w:val="18"/>
                <w:szCs w:val="18"/>
              </w:rPr>
              <w:t>级，检验依据：</w:t>
            </w:r>
            <w:r>
              <w:rPr>
                <w:rFonts w:ascii="宋体" w:hAnsi="宋体" w:cs="宋体"/>
                <w:color w:val="000000"/>
                <w:sz w:val="18"/>
                <w:szCs w:val="18"/>
              </w:rPr>
              <w:t>GB 20286-2006/GB 8624-2012 B1</w:t>
            </w:r>
            <w:r>
              <w:rPr>
                <w:rFonts w:hint="eastAsia" w:ascii="宋体" w:hAnsi="宋体" w:cs="宋体"/>
                <w:color w:val="000000"/>
                <w:sz w:val="18"/>
                <w:szCs w:val="18"/>
              </w:rPr>
              <w:t>标准；</w:t>
            </w:r>
          </w:p>
          <w:p>
            <w:pPr>
              <w:rPr>
                <w:rFonts w:ascii="宋体" w:cs="宋体"/>
                <w:bCs/>
                <w:sz w:val="18"/>
                <w:szCs w:val="18"/>
              </w:rPr>
            </w:pPr>
            <w:r>
              <w:rPr>
                <w:rFonts w:hint="eastAsia" w:ascii="宋体" w:hAnsi="宋体" w:cs="宋体"/>
                <w:bCs/>
                <w:sz w:val="18"/>
                <w:szCs w:val="18"/>
              </w:rPr>
              <w:t>★</w:t>
            </w:r>
            <w:r>
              <w:rPr>
                <w:rFonts w:ascii="宋体" w:cs="宋体"/>
                <w:bCs/>
                <w:sz w:val="18"/>
                <w:szCs w:val="18"/>
              </w:rPr>
              <w:t>9</w:t>
            </w:r>
            <w:r>
              <w:rPr>
                <w:rFonts w:hint="eastAsia" w:ascii="宋体" w:cs="宋体"/>
                <w:bCs/>
                <w:sz w:val="18"/>
                <w:szCs w:val="18"/>
              </w:rPr>
              <w:t>、遮光率</w:t>
            </w:r>
            <w:r>
              <w:rPr>
                <w:rFonts w:hint="eastAsia" w:ascii="宋体" w:hAnsi="宋体" w:cs="宋体"/>
                <w:sz w:val="18"/>
                <w:szCs w:val="18"/>
              </w:rPr>
              <w:t>≥</w:t>
            </w:r>
            <w:r>
              <w:rPr>
                <w:rFonts w:ascii="宋体" w:hAnsi="宋体" w:cs="宋体"/>
                <w:sz w:val="18"/>
                <w:szCs w:val="18"/>
              </w:rPr>
              <w:t>99%</w:t>
            </w:r>
            <w:r>
              <w:rPr>
                <w:rFonts w:hint="eastAsia" w:ascii="宋体" w:hAnsi="宋体" w:cs="宋体"/>
                <w:sz w:val="18"/>
                <w:szCs w:val="18"/>
              </w:rPr>
              <w:t>，检验依据：</w:t>
            </w:r>
            <w:r>
              <w:rPr>
                <w:rFonts w:ascii="宋体" w:hAnsi="宋体" w:cs="宋体"/>
                <w:sz w:val="18"/>
                <w:szCs w:val="18"/>
              </w:rPr>
              <w:t>FZ/T62025-2015;</w:t>
            </w:r>
          </w:p>
          <w:p>
            <w:pPr>
              <w:rPr>
                <w:rFonts w:ascii="宋体" w:cs="宋体"/>
                <w:color w:val="000000"/>
                <w:sz w:val="18"/>
                <w:szCs w:val="18"/>
              </w:rPr>
            </w:pPr>
            <w:r>
              <w:rPr>
                <w:rFonts w:hint="eastAsia" w:ascii="宋体" w:hAnsi="宋体" w:cs="宋体"/>
                <w:sz w:val="18"/>
                <w:szCs w:val="18"/>
              </w:rPr>
              <w:t>提供有资质的第三方检测机构出具的有效的检测报告复印件并加盖投标人公章，原件备查</w:t>
            </w:r>
          </w:p>
        </w:tc>
      </w:tr>
      <w:tr>
        <w:tblPrEx>
          <w:tblCellMar>
            <w:top w:w="0" w:type="dxa"/>
            <w:left w:w="108" w:type="dxa"/>
            <w:bottom w:w="0" w:type="dxa"/>
            <w:right w:w="108" w:type="dxa"/>
          </w:tblCellMar>
        </w:tblPrEx>
        <w:trPr>
          <w:trHeight w:val="2414" w:hRule="atLeast"/>
        </w:trPr>
        <w:tc>
          <w:tcPr>
            <w:tcW w:w="551"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rPr>
            </w:pPr>
          </w:p>
          <w:p>
            <w:pPr>
              <w:jc w:val="center"/>
              <w:rPr>
                <w:rFonts w:ascii="宋体" w:cs="宋体"/>
                <w:color w:val="000000"/>
              </w:rPr>
            </w:pPr>
            <w:r>
              <w:rPr>
                <w:rFonts w:hint="eastAsia" w:ascii="宋体" w:hAnsi="宋体" w:cs="宋体"/>
                <w:color w:val="000000"/>
              </w:rPr>
              <w:t>学术报告厅、多功能厅</w:t>
            </w:r>
          </w:p>
          <w:p>
            <w:pPr>
              <w:ind w:left="1276"/>
              <w:jc w:val="center"/>
              <w:rPr>
                <w:rFonts w:ascii="宋体" w:cs="宋体"/>
                <w:color w:val="000000"/>
              </w:rPr>
            </w:pPr>
          </w:p>
          <w:p>
            <w:pPr>
              <w:ind w:left="1276"/>
              <w:jc w:val="center"/>
              <w:rPr>
                <w:rFonts w:ascii="宋体" w:cs="宋体"/>
                <w:sz w:val="18"/>
                <w:szCs w:val="18"/>
              </w:rPr>
            </w:pPr>
          </w:p>
        </w:tc>
        <w:tc>
          <w:tcPr>
            <w:tcW w:w="86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电动布艺帘</w:t>
            </w:r>
          </w:p>
          <w:p>
            <w:pPr>
              <w:jc w:val="center"/>
              <w:rPr>
                <w:rFonts w:ascii="宋体" w:cs="宋体"/>
                <w:sz w:val="18"/>
                <w:szCs w:val="18"/>
              </w:rPr>
            </w:pPr>
          </w:p>
        </w:tc>
        <w:tc>
          <w:tcPr>
            <w:tcW w:w="158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p>
          <w:p>
            <w:pPr>
              <w:jc w:val="center"/>
              <w:rPr>
                <w:rFonts w:ascii="宋体" w:cs="宋体"/>
                <w:color w:val="000000"/>
                <w:sz w:val="18"/>
                <w:szCs w:val="18"/>
              </w:rPr>
            </w:pPr>
            <w:r>
              <w:rPr>
                <w:rFonts w:hint="eastAsia" w:ascii="宋体" w:cs="宋体"/>
              </w:rPr>
              <w:drawing>
                <wp:inline distT="0" distB="0" distL="114300" distR="114300">
                  <wp:extent cx="1471295" cy="979170"/>
                  <wp:effectExtent l="0" t="0" r="1460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71295" cy="979170"/>
                          </a:xfrm>
                          <a:prstGeom prst="rect">
                            <a:avLst/>
                          </a:prstGeom>
                          <a:noFill/>
                          <a:ln>
                            <a:noFill/>
                          </a:ln>
                        </pic:spPr>
                      </pic:pic>
                    </a:graphicData>
                  </a:graphic>
                </wp:inline>
              </w:drawing>
            </w:r>
          </w:p>
          <w:p>
            <w:pPr>
              <w:jc w:val="center"/>
              <w:rPr>
                <w:rFonts w:ascii="宋体" w:cs="宋体"/>
                <w:color w:val="000000"/>
                <w:sz w:val="18"/>
                <w:szCs w:val="18"/>
              </w:rPr>
            </w:pPr>
          </w:p>
        </w:tc>
        <w:tc>
          <w:tcPr>
            <w:tcW w:w="1994" w:type="pct"/>
            <w:tcBorders>
              <w:top w:val="single" w:color="auto" w:sz="4" w:space="0"/>
              <w:left w:val="single" w:color="auto" w:sz="4" w:space="0"/>
              <w:right w:val="single" w:color="auto" w:sz="4" w:space="0"/>
            </w:tcBorders>
            <w:noWrap/>
            <w:vAlign w:val="center"/>
          </w:tcPr>
          <w:p>
            <w:pPr>
              <w:jc w:val="left"/>
              <w:rPr>
                <w:rFonts w:ascii="宋体" w:cs="宋体"/>
                <w:color w:val="000000"/>
                <w:sz w:val="18"/>
                <w:szCs w:val="18"/>
              </w:rPr>
            </w:pPr>
          </w:p>
          <w:p>
            <w:pPr>
              <w:rPr>
                <w:rFonts w:ascii="宋体" w:cs="宋体"/>
                <w:color w:val="000000"/>
                <w:sz w:val="18"/>
                <w:szCs w:val="18"/>
              </w:rPr>
            </w:pPr>
            <w:r>
              <w:rPr>
                <w:rFonts w:hint="eastAsia" w:ascii="宋体" w:hAnsi="宋体" w:cs="宋体"/>
                <w:color w:val="000000"/>
                <w:sz w:val="18"/>
                <w:szCs w:val="18"/>
              </w:rPr>
              <w:t>杆位系数为</w:t>
            </w:r>
            <w:r>
              <w:rPr>
                <w:rFonts w:ascii="宋体" w:hAnsi="宋体" w:cs="宋体"/>
                <w:color w:val="000000"/>
                <w:sz w:val="18"/>
                <w:szCs w:val="18"/>
              </w:rPr>
              <w:t>1:2</w:t>
            </w:r>
            <w:r>
              <w:rPr>
                <w:rFonts w:hint="eastAsia" w:ascii="宋体" w:hAnsi="宋体" w:cs="宋体"/>
                <w:color w:val="000000"/>
                <w:sz w:val="18"/>
                <w:szCs w:val="18"/>
              </w:rPr>
              <w:t>（实际宽度与窗帘布用料之比，充分保证窗帘美观），所有面料需是环保材料。</w:t>
            </w:r>
          </w:p>
          <w:p>
            <w:pP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、甲醛含量（</w:t>
            </w:r>
            <w:r>
              <w:rPr>
                <w:rFonts w:ascii="宋体" w:hAnsi="宋体" w:cs="宋体"/>
                <w:color w:val="000000"/>
                <w:sz w:val="18"/>
                <w:szCs w:val="18"/>
              </w:rPr>
              <w:t>mg/kg</w:t>
            </w: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w:t>
            </w:r>
            <w:r>
              <w:rPr>
                <w:rFonts w:hint="eastAsia" w:ascii="宋体" w:cs="宋体"/>
                <w:color w:val="000000"/>
                <w:sz w:val="18"/>
                <w:szCs w:val="18"/>
              </w:rPr>
              <w:t>检验依据：</w:t>
            </w:r>
            <w:r>
              <w:rPr>
                <w:rFonts w:ascii="宋体" w:hAnsi="宋体" w:cs="宋体"/>
                <w:color w:val="000000"/>
                <w:sz w:val="18"/>
                <w:szCs w:val="18"/>
              </w:rPr>
              <w:t>GB</w:t>
            </w:r>
            <w:r>
              <w:rPr>
                <w:rFonts w:ascii="宋体" w:cs="宋体"/>
                <w:color w:val="000000"/>
                <w:sz w:val="18"/>
                <w:szCs w:val="18"/>
              </w:rPr>
              <w:t>/T 2912.1-2009;</w:t>
            </w:r>
          </w:p>
          <w:p>
            <w:pPr>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、可分解致癌芳香胺染料含量：</w:t>
            </w:r>
            <w:r>
              <w:rPr>
                <w:rFonts w:ascii="宋体" w:cs="宋体"/>
                <w:color w:val="000000"/>
                <w:sz w:val="18"/>
                <w:szCs w:val="18"/>
              </w:rPr>
              <w:t>0</w:t>
            </w:r>
            <w:r>
              <w:rPr>
                <w:rFonts w:hint="eastAsia" w:ascii="宋体" w:hAnsi="宋体" w:cs="宋体"/>
                <w:color w:val="000000"/>
                <w:sz w:val="18"/>
                <w:szCs w:val="18"/>
              </w:rPr>
              <w:t>，检验依据</w:t>
            </w:r>
            <w:r>
              <w:rPr>
                <w:rFonts w:ascii="宋体" w:hAnsi="宋体" w:cs="宋体"/>
                <w:color w:val="000000"/>
                <w:sz w:val="18"/>
                <w:szCs w:val="18"/>
              </w:rPr>
              <w:t>:GB</w:t>
            </w:r>
            <w:r>
              <w:rPr>
                <w:rFonts w:ascii="宋体" w:cs="宋体"/>
                <w:color w:val="000000"/>
                <w:sz w:val="18"/>
                <w:szCs w:val="18"/>
              </w:rPr>
              <w:t>/T 17592-2011</w:t>
            </w:r>
            <w:r>
              <w:rPr>
                <w:rFonts w:hint="eastAsia" w:ascii="宋体" w:cs="宋体"/>
                <w:color w:val="000000"/>
                <w:sz w:val="18"/>
                <w:szCs w:val="18"/>
              </w:rPr>
              <w:t>，</w:t>
            </w:r>
            <w:r>
              <w:rPr>
                <w:rFonts w:ascii="宋体" w:hAnsi="宋体" w:cs="宋体"/>
                <w:color w:val="000000"/>
                <w:sz w:val="18"/>
                <w:szCs w:val="18"/>
              </w:rPr>
              <w:t>GB</w:t>
            </w:r>
            <w:r>
              <w:rPr>
                <w:rFonts w:ascii="宋体" w:cs="宋体"/>
                <w:color w:val="000000"/>
                <w:sz w:val="18"/>
                <w:szCs w:val="18"/>
              </w:rPr>
              <w:t>/T 23344-2009;</w:t>
            </w:r>
          </w:p>
          <w:p>
            <w:pPr>
              <w:pStyle w:val="3"/>
              <w:rPr>
                <w:rFonts w:ascii="宋体" w:eastAsia="宋体" w:cs="宋体"/>
                <w:color w:val="000000"/>
                <w:sz w:val="18"/>
                <w:szCs w:val="18"/>
              </w:rPr>
            </w:pPr>
            <w:r>
              <w:rPr>
                <w:rFonts w:hint="eastAsia" w:ascii="宋体" w:eastAsia="宋体" w:cs="宋体"/>
                <w:sz w:val="18"/>
                <w:szCs w:val="18"/>
              </w:rPr>
              <w:t>★</w:t>
            </w:r>
            <w:r>
              <w:rPr>
                <w:rFonts w:ascii="宋体" w:eastAsia="宋体" w:cs="宋体"/>
                <w:sz w:val="18"/>
                <w:szCs w:val="18"/>
              </w:rPr>
              <w:t>3</w:t>
            </w:r>
            <w:r>
              <w:rPr>
                <w:rFonts w:hint="eastAsia" w:ascii="宋体" w:eastAsia="宋体" w:cs="宋体"/>
                <w:sz w:val="18"/>
                <w:szCs w:val="18"/>
              </w:rPr>
              <w:t>、含氯苯酚（</w:t>
            </w:r>
            <w:r>
              <w:rPr>
                <w:rFonts w:ascii="宋体" w:eastAsia="宋体" w:cs="宋体"/>
                <w:sz w:val="18"/>
                <w:szCs w:val="18"/>
              </w:rPr>
              <w:t>mg/kg</w:t>
            </w:r>
            <w:r>
              <w:rPr>
                <w:rFonts w:hint="eastAsia" w:ascii="宋体" w:eastAsia="宋体" w:cs="宋体"/>
                <w:sz w:val="18"/>
                <w:szCs w:val="18"/>
              </w:rPr>
              <w:t>）：</w:t>
            </w:r>
            <w:r>
              <w:rPr>
                <w:rFonts w:ascii="宋体" w:eastAsia="宋体" w:cs="宋体"/>
                <w:sz w:val="18"/>
                <w:szCs w:val="18"/>
              </w:rPr>
              <w:t>0</w:t>
            </w:r>
            <w:r>
              <w:rPr>
                <w:rFonts w:hint="eastAsia" w:ascii="宋体" w:eastAsia="宋体" w:cs="宋体"/>
                <w:sz w:val="18"/>
                <w:szCs w:val="18"/>
              </w:rPr>
              <w:t>，检验依据：</w:t>
            </w:r>
            <w:r>
              <w:rPr>
                <w:rFonts w:ascii="宋体" w:eastAsia="宋体" w:cs="宋体"/>
                <w:sz w:val="18"/>
                <w:szCs w:val="18"/>
              </w:rPr>
              <w:t>GB/T 18414.1-2006</w:t>
            </w:r>
            <w:r>
              <w:rPr>
                <w:rFonts w:hint="eastAsia" w:ascii="宋体" w:eastAsia="宋体" w:cs="宋体"/>
                <w:sz w:val="18"/>
                <w:szCs w:val="18"/>
              </w:rPr>
              <w:t>；</w:t>
            </w:r>
          </w:p>
          <w:p>
            <w:pPr>
              <w:rPr>
                <w:color w:val="000000"/>
              </w:rPr>
            </w:pPr>
            <w:r>
              <w:rPr>
                <w:rFonts w:ascii="宋体" w:hAnsi="宋体" w:cs="宋体"/>
                <w:color w:val="000000"/>
                <w:sz w:val="18"/>
                <w:szCs w:val="18"/>
              </w:rPr>
              <w:t>4</w:t>
            </w:r>
            <w:r>
              <w:rPr>
                <w:rFonts w:hint="eastAsia" w:ascii="宋体" w:hAnsi="宋体" w:cs="宋体"/>
                <w:color w:val="000000"/>
                <w:sz w:val="18"/>
                <w:szCs w:val="18"/>
              </w:rPr>
              <w:t>、致敏性分散染料含量（</w:t>
            </w:r>
            <w:r>
              <w:rPr>
                <w:rFonts w:ascii="宋体" w:hAnsi="宋体" w:cs="宋体"/>
                <w:color w:val="000000"/>
                <w:sz w:val="18"/>
                <w:szCs w:val="18"/>
              </w:rPr>
              <w:t>mg/kg</w:t>
            </w:r>
            <w:r>
              <w:rPr>
                <w:rFonts w:hint="eastAsia" w:ascii="宋体" w:hAnsi="宋体" w:cs="宋体"/>
                <w:color w:val="000000"/>
                <w:sz w:val="18"/>
                <w:szCs w:val="18"/>
              </w:rPr>
              <w:t>）：</w:t>
            </w:r>
            <w:r>
              <w:rPr>
                <w:rFonts w:ascii="宋体" w:cs="宋体"/>
                <w:color w:val="000000"/>
                <w:sz w:val="18"/>
                <w:szCs w:val="18"/>
              </w:rPr>
              <w:t>0,</w:t>
            </w:r>
            <w:r>
              <w:rPr>
                <w:rFonts w:hint="eastAsia" w:ascii="宋体" w:hAnsi="宋体" w:cs="宋体"/>
                <w:color w:val="000000"/>
                <w:sz w:val="18"/>
                <w:szCs w:val="18"/>
              </w:rPr>
              <w:t>检验依据：</w:t>
            </w:r>
            <w:r>
              <w:rPr>
                <w:rFonts w:ascii="宋体" w:hAnsi="宋体" w:cs="宋体"/>
                <w:color w:val="000000"/>
                <w:sz w:val="18"/>
                <w:szCs w:val="18"/>
              </w:rPr>
              <w:t>GB/T 20383-2006</w:t>
            </w:r>
            <w:r>
              <w:rPr>
                <w:rFonts w:hint="eastAsia" w:ascii="宋体" w:hAnsi="宋体" w:cs="宋体"/>
                <w:color w:val="000000"/>
                <w:sz w:val="18"/>
                <w:szCs w:val="18"/>
              </w:rPr>
              <w:t>；</w:t>
            </w:r>
          </w:p>
          <w:p>
            <w:pPr>
              <w:pStyle w:val="3"/>
              <w:rPr>
                <w:rFonts w:ascii="宋体" w:eastAsia="宋体" w:cs="宋体"/>
                <w:color w:val="000000"/>
                <w:sz w:val="18"/>
                <w:szCs w:val="18"/>
              </w:rPr>
            </w:pPr>
            <w:r>
              <w:rPr>
                <w:rFonts w:ascii="宋体" w:eastAsia="宋体" w:cs="宋体"/>
                <w:color w:val="000000"/>
                <w:sz w:val="18"/>
                <w:szCs w:val="18"/>
              </w:rPr>
              <w:t>5</w:t>
            </w:r>
            <w:r>
              <w:rPr>
                <w:rFonts w:hint="eastAsia" w:ascii="宋体" w:eastAsia="宋体" w:cs="宋体"/>
                <w:color w:val="000000"/>
                <w:sz w:val="18"/>
                <w:szCs w:val="18"/>
              </w:rPr>
              <w:t>、耐光色牢度（级）：</w:t>
            </w:r>
            <w:r>
              <w:rPr>
                <w:rFonts w:ascii="Arial" w:hAnsi="Arial" w:eastAsia="宋体" w:cs="Arial"/>
                <w:color w:val="000000"/>
                <w:sz w:val="18"/>
                <w:szCs w:val="18"/>
              </w:rPr>
              <w:t>≥</w:t>
            </w:r>
            <w:r>
              <w:rPr>
                <w:rFonts w:ascii="宋体" w:eastAsia="宋体" w:cs="宋体"/>
                <w:color w:val="000000"/>
                <w:sz w:val="18"/>
                <w:szCs w:val="18"/>
              </w:rPr>
              <w:t>5</w:t>
            </w:r>
            <w:r>
              <w:rPr>
                <w:rFonts w:hint="eastAsia" w:ascii="宋体" w:eastAsia="宋体" w:cs="宋体"/>
                <w:color w:val="000000"/>
                <w:sz w:val="18"/>
                <w:szCs w:val="18"/>
              </w:rPr>
              <w:t>级，检验依据：</w:t>
            </w:r>
            <w:r>
              <w:rPr>
                <w:rFonts w:ascii="宋体" w:eastAsia="宋体" w:cs="宋体"/>
                <w:color w:val="000000"/>
                <w:sz w:val="18"/>
                <w:szCs w:val="18"/>
              </w:rPr>
              <w:t>GB/T 8427-1998</w:t>
            </w:r>
            <w:r>
              <w:rPr>
                <w:rFonts w:hint="eastAsia" w:ascii="宋体" w:eastAsia="宋体" w:cs="宋体"/>
                <w:color w:val="000000"/>
                <w:sz w:val="18"/>
                <w:szCs w:val="18"/>
              </w:rPr>
              <w:t>；</w:t>
            </w:r>
          </w:p>
          <w:p>
            <w:pP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6</w:t>
            </w:r>
            <w:r>
              <w:rPr>
                <w:rFonts w:hint="eastAsia" w:ascii="宋体" w:hAnsi="宋体" w:cs="宋体"/>
                <w:color w:val="000000"/>
                <w:sz w:val="18"/>
                <w:szCs w:val="18"/>
              </w:rPr>
              <w:t>、</w:t>
            </w:r>
            <w:r>
              <w:rPr>
                <w:rFonts w:hint="eastAsia" w:ascii="宋体" w:hAnsi="宋体" w:cs="宋体"/>
                <w:sz w:val="18"/>
                <w:szCs w:val="18"/>
              </w:rPr>
              <w:t>阻燃性</w:t>
            </w:r>
            <w:r>
              <w:rPr>
                <w:rFonts w:hint="eastAsia" w:ascii="宋体" w:hAnsi="宋体" w:cs="宋体"/>
                <w:color w:val="000000"/>
                <w:sz w:val="18"/>
                <w:szCs w:val="18"/>
              </w:rPr>
              <w:t>：</w:t>
            </w:r>
            <w:r>
              <w:rPr>
                <w:rFonts w:ascii="宋体" w:hAnsi="宋体" w:cs="宋体"/>
                <w:color w:val="000000"/>
                <w:sz w:val="18"/>
                <w:szCs w:val="18"/>
              </w:rPr>
              <w:t>B1</w:t>
            </w:r>
            <w:r>
              <w:rPr>
                <w:rFonts w:hint="eastAsia" w:ascii="宋体" w:hAnsi="宋体" w:cs="宋体"/>
                <w:color w:val="000000"/>
                <w:sz w:val="18"/>
                <w:szCs w:val="18"/>
              </w:rPr>
              <w:t>级，检验依据：</w:t>
            </w:r>
            <w:r>
              <w:rPr>
                <w:rFonts w:ascii="宋体" w:hAnsi="宋体" w:cs="宋体"/>
                <w:color w:val="000000"/>
                <w:sz w:val="18"/>
                <w:szCs w:val="18"/>
              </w:rPr>
              <w:t>GB 20286-2006/GB 8624-2012 B1</w:t>
            </w:r>
            <w:r>
              <w:rPr>
                <w:rFonts w:hint="eastAsia" w:ascii="宋体" w:hAnsi="宋体" w:cs="宋体"/>
                <w:color w:val="000000"/>
                <w:sz w:val="18"/>
                <w:szCs w:val="18"/>
              </w:rPr>
              <w:t>标准；</w:t>
            </w:r>
          </w:p>
          <w:p>
            <w:pPr>
              <w:pStyle w:val="3"/>
              <w:rPr>
                <w:rFonts w:ascii="宋体" w:eastAsia="宋体" w:cs="宋体"/>
                <w:bCs/>
                <w:color w:val="000000"/>
                <w:sz w:val="18"/>
                <w:szCs w:val="18"/>
              </w:rPr>
            </w:pPr>
            <w:r>
              <w:rPr>
                <w:rFonts w:hint="eastAsia" w:ascii="宋体" w:eastAsia="宋体" w:cs="宋体"/>
                <w:bCs/>
                <w:color w:val="000000"/>
                <w:sz w:val="18"/>
                <w:szCs w:val="18"/>
              </w:rPr>
              <w:t>★</w:t>
            </w:r>
            <w:r>
              <w:rPr>
                <w:rFonts w:ascii="宋体" w:eastAsia="宋体" w:cs="宋体"/>
                <w:bCs/>
                <w:color w:val="000000"/>
                <w:sz w:val="18"/>
                <w:szCs w:val="18"/>
              </w:rPr>
              <w:t>7</w:t>
            </w:r>
            <w:r>
              <w:rPr>
                <w:rFonts w:hint="eastAsia" w:ascii="宋体" w:eastAsia="宋体" w:cs="宋体"/>
                <w:bCs/>
                <w:color w:val="000000"/>
                <w:sz w:val="18"/>
                <w:szCs w:val="18"/>
              </w:rPr>
              <w:t>、大肠杆菌（</w:t>
            </w:r>
            <w:r>
              <w:rPr>
                <w:rFonts w:ascii="宋体" w:eastAsia="宋体" w:cs="宋体"/>
                <w:bCs/>
                <w:color w:val="000000"/>
                <w:sz w:val="18"/>
                <w:szCs w:val="18"/>
              </w:rPr>
              <w:t>ATCC25922</w:t>
            </w:r>
            <w:r>
              <w:rPr>
                <w:rFonts w:hint="eastAsia" w:ascii="宋体" w:eastAsia="宋体" w:cs="宋体"/>
                <w:bCs/>
                <w:color w:val="000000"/>
                <w:sz w:val="18"/>
                <w:szCs w:val="18"/>
              </w:rPr>
              <w:t>）抑菌率</w:t>
            </w:r>
            <w:r>
              <w:rPr>
                <w:rFonts w:hint="eastAsia" w:ascii="宋体" w:eastAsia="宋体" w:cs="宋体"/>
                <w:color w:val="000000"/>
                <w:sz w:val="18"/>
                <w:szCs w:val="18"/>
              </w:rPr>
              <w:t>≥</w:t>
            </w:r>
            <w:r>
              <w:rPr>
                <w:rFonts w:ascii="宋体" w:eastAsia="宋体" w:cs="宋体"/>
                <w:color w:val="000000"/>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pStyle w:val="3"/>
              <w:rPr>
                <w:rFonts w:ascii="宋体" w:eastAsia="宋体" w:cs="宋体"/>
                <w:color w:val="000000"/>
                <w:sz w:val="18"/>
                <w:szCs w:val="18"/>
              </w:rPr>
            </w:pPr>
            <w:r>
              <w:rPr>
                <w:rFonts w:hint="eastAsia" w:ascii="宋体" w:eastAsia="宋体" w:cs="宋体"/>
                <w:bCs/>
                <w:color w:val="000000"/>
                <w:sz w:val="18"/>
                <w:szCs w:val="18"/>
              </w:rPr>
              <w:t>★</w:t>
            </w:r>
            <w:r>
              <w:rPr>
                <w:rFonts w:ascii="宋体" w:eastAsia="宋体" w:cs="宋体"/>
                <w:bCs/>
                <w:color w:val="000000"/>
                <w:sz w:val="18"/>
                <w:szCs w:val="18"/>
              </w:rPr>
              <w:t>8</w:t>
            </w:r>
            <w:r>
              <w:rPr>
                <w:rFonts w:hint="eastAsia" w:ascii="宋体" w:eastAsia="宋体" w:cs="宋体"/>
                <w:bCs/>
                <w:color w:val="000000"/>
                <w:sz w:val="18"/>
                <w:szCs w:val="18"/>
              </w:rPr>
              <w:t>、白色念珠菌（</w:t>
            </w:r>
            <w:r>
              <w:rPr>
                <w:rFonts w:ascii="宋体" w:eastAsia="宋体" w:cs="宋体"/>
                <w:bCs/>
                <w:color w:val="000000"/>
                <w:sz w:val="18"/>
                <w:szCs w:val="18"/>
              </w:rPr>
              <w:t>ATCC10231</w:t>
            </w:r>
            <w:r>
              <w:rPr>
                <w:rFonts w:hint="eastAsia" w:ascii="宋体" w:eastAsia="宋体" w:cs="宋体"/>
                <w:bCs/>
                <w:color w:val="000000"/>
                <w:sz w:val="18"/>
                <w:szCs w:val="18"/>
              </w:rPr>
              <w:t>）抑菌率</w:t>
            </w:r>
            <w:r>
              <w:rPr>
                <w:rFonts w:hint="eastAsia" w:ascii="宋体" w:eastAsia="宋体" w:cs="宋体"/>
                <w:color w:val="000000"/>
                <w:sz w:val="18"/>
                <w:szCs w:val="18"/>
              </w:rPr>
              <w:t>≥</w:t>
            </w:r>
            <w:r>
              <w:rPr>
                <w:rFonts w:ascii="宋体" w:eastAsia="宋体" w:cs="宋体"/>
                <w:color w:val="000000"/>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pStyle w:val="3"/>
              <w:rPr>
                <w:rFonts w:ascii="宋体" w:eastAsia="宋体" w:cs="宋体"/>
                <w:color w:val="000000"/>
                <w:sz w:val="18"/>
                <w:szCs w:val="18"/>
              </w:rPr>
            </w:pPr>
            <w:r>
              <w:rPr>
                <w:rFonts w:hint="eastAsia" w:ascii="宋体" w:eastAsia="宋体" w:cs="宋体"/>
                <w:color w:val="000000"/>
                <w:sz w:val="18"/>
                <w:szCs w:val="18"/>
              </w:rPr>
              <w:t>★</w:t>
            </w:r>
            <w:r>
              <w:rPr>
                <w:rFonts w:ascii="宋体" w:eastAsia="宋体" w:cs="宋体"/>
                <w:color w:val="000000"/>
                <w:sz w:val="18"/>
                <w:szCs w:val="18"/>
              </w:rPr>
              <w:t>9</w:t>
            </w:r>
            <w:r>
              <w:rPr>
                <w:rFonts w:hint="eastAsia" w:ascii="宋体" w:eastAsia="宋体" w:cs="宋体"/>
                <w:color w:val="000000"/>
                <w:sz w:val="18"/>
                <w:szCs w:val="18"/>
              </w:rPr>
              <w:t>、肺炎克雷伯菌（</w:t>
            </w:r>
            <w:r>
              <w:rPr>
                <w:rFonts w:ascii="宋体" w:eastAsia="宋体" w:cs="宋体"/>
                <w:color w:val="000000"/>
                <w:sz w:val="18"/>
                <w:szCs w:val="18"/>
              </w:rPr>
              <w:t>ATCC4352</w:t>
            </w:r>
            <w:r>
              <w:rPr>
                <w:rFonts w:hint="eastAsia" w:ascii="宋体" w:eastAsia="宋体" w:cs="宋体"/>
                <w:color w:val="000000"/>
                <w:sz w:val="18"/>
                <w:szCs w:val="18"/>
              </w:rPr>
              <w:t>）</w:t>
            </w:r>
            <w:r>
              <w:rPr>
                <w:rFonts w:hint="eastAsia" w:ascii="宋体" w:eastAsia="宋体" w:cs="宋体"/>
                <w:bCs/>
                <w:sz w:val="18"/>
                <w:szCs w:val="18"/>
              </w:rPr>
              <w:t>抑菌率</w:t>
            </w:r>
            <w:r>
              <w:rPr>
                <w:rFonts w:hint="eastAsia" w:ascii="宋体" w:eastAsia="宋体" w:cs="宋体"/>
                <w:sz w:val="18"/>
                <w:szCs w:val="18"/>
              </w:rPr>
              <w:t>≥</w:t>
            </w:r>
            <w:r>
              <w:rPr>
                <w:rFonts w:ascii="宋体" w:eastAsia="宋体" w:cs="宋体"/>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pStyle w:val="3"/>
              <w:rPr>
                <w:rFonts w:ascii="宋体" w:eastAsia="宋体" w:cs="宋体"/>
                <w:color w:val="000000"/>
                <w:sz w:val="18"/>
                <w:szCs w:val="18"/>
              </w:rPr>
            </w:pPr>
            <w:r>
              <w:rPr>
                <w:rFonts w:hint="eastAsia" w:ascii="宋体" w:eastAsia="宋体" w:cs="宋体"/>
                <w:sz w:val="18"/>
                <w:szCs w:val="18"/>
              </w:rPr>
              <w:t>提供有资质的第三方检测机构出具的有效的检测报告复印件并加盖投标人公章，原件备查</w:t>
            </w:r>
          </w:p>
        </w:tc>
      </w:tr>
      <w:tr>
        <w:tblPrEx>
          <w:tblCellMar>
            <w:top w:w="0" w:type="dxa"/>
            <w:left w:w="108" w:type="dxa"/>
            <w:bottom w:w="0" w:type="dxa"/>
            <w:right w:w="108" w:type="dxa"/>
          </w:tblCellMar>
        </w:tblPrEx>
        <w:trPr>
          <w:trHeight w:val="1025" w:hRule="atLeast"/>
        </w:trPr>
        <w:tc>
          <w:tcPr>
            <w:tcW w:w="551" w:type="pct"/>
            <w:vMerge w:val="continue"/>
            <w:tcBorders>
              <w:top w:val="single" w:color="auto" w:sz="4" w:space="0"/>
              <w:left w:val="single" w:color="auto" w:sz="4" w:space="0"/>
              <w:bottom w:val="single" w:color="auto" w:sz="4" w:space="0"/>
              <w:right w:val="single" w:color="auto" w:sz="4" w:space="0"/>
            </w:tcBorders>
            <w:noWrap/>
            <w:vAlign w:val="center"/>
          </w:tcPr>
          <w:p>
            <w:pPr>
              <w:ind w:left="1276"/>
              <w:jc w:val="center"/>
              <w:rPr>
                <w:rFonts w:ascii="宋体" w:cs="宋体"/>
                <w:sz w:val="18"/>
                <w:szCs w:val="18"/>
              </w:rPr>
            </w:pPr>
          </w:p>
        </w:tc>
        <w:tc>
          <w:tcPr>
            <w:tcW w:w="866"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p>
        </w:tc>
        <w:tc>
          <w:tcPr>
            <w:tcW w:w="158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r>
              <w:rPr>
                <w:rFonts w:hint="eastAsia" w:ascii="宋体" w:hAnsi="宋体" w:cs="宋体"/>
                <w:color w:val="000000"/>
                <w:sz w:val="18"/>
                <w:szCs w:val="18"/>
              </w:rPr>
              <w:t>电机及电动轨道</w:t>
            </w:r>
          </w:p>
        </w:tc>
        <w:tc>
          <w:tcPr>
            <w:tcW w:w="1994" w:type="pct"/>
            <w:tcBorders>
              <w:top w:val="single" w:color="auto" w:sz="4" w:space="0"/>
              <w:left w:val="single" w:color="auto" w:sz="4" w:space="0"/>
              <w:bottom w:val="single" w:color="auto" w:sz="4" w:space="0"/>
              <w:right w:val="single" w:color="auto" w:sz="4" w:space="0"/>
            </w:tcBorders>
            <w:noWrap/>
            <w:vAlign w:val="center"/>
          </w:tcPr>
          <w:p>
            <w:pPr>
              <w:jc w:val="left"/>
              <w:rPr>
                <w:rFonts w:ascii="宋体" w:cs="宋体"/>
                <w:bCs/>
                <w:sz w:val="18"/>
                <w:szCs w:val="18"/>
              </w:rPr>
            </w:pPr>
            <w:r>
              <w:rPr>
                <w:rFonts w:hint="eastAsia" w:ascii="宋体" w:hAnsi="宋体" w:cs="宋体"/>
                <w:bCs/>
                <w:sz w:val="18"/>
                <w:szCs w:val="18"/>
              </w:rPr>
              <w:t>电机要求：扭矩不小于</w:t>
            </w:r>
            <w:r>
              <w:rPr>
                <w:rFonts w:ascii="宋体" w:hAnsi="宋体" w:cs="宋体"/>
                <w:bCs/>
                <w:sz w:val="18"/>
                <w:szCs w:val="18"/>
              </w:rPr>
              <w:t>6Nm</w:t>
            </w:r>
            <w:r>
              <w:rPr>
                <w:rFonts w:hint="eastAsia" w:ascii="宋体" w:hAnsi="宋体" w:cs="宋体"/>
                <w:bCs/>
                <w:sz w:val="18"/>
                <w:szCs w:val="18"/>
              </w:rPr>
              <w:t>，转速不小于</w:t>
            </w:r>
            <w:r>
              <w:rPr>
                <w:rFonts w:ascii="宋体" w:hAnsi="宋体" w:cs="宋体"/>
                <w:bCs/>
                <w:sz w:val="18"/>
                <w:szCs w:val="18"/>
              </w:rPr>
              <w:t>26rpm</w:t>
            </w:r>
            <w:r>
              <w:rPr>
                <w:rFonts w:hint="eastAsia" w:ascii="宋体" w:hAnsi="宋体" w:cs="宋体"/>
                <w:bCs/>
                <w:sz w:val="18"/>
                <w:szCs w:val="18"/>
              </w:rPr>
              <w:t>，取得</w:t>
            </w:r>
            <w:r>
              <w:rPr>
                <w:rFonts w:ascii="宋体" w:hAnsi="宋体" w:cs="宋体"/>
                <w:bCs/>
                <w:sz w:val="18"/>
                <w:szCs w:val="18"/>
              </w:rPr>
              <w:t>CCC</w:t>
            </w:r>
            <w:r>
              <w:rPr>
                <w:rFonts w:hint="eastAsia" w:ascii="宋体" w:hAnsi="宋体" w:cs="宋体"/>
                <w:bCs/>
                <w:sz w:val="18"/>
                <w:szCs w:val="18"/>
              </w:rPr>
              <w:t>认证。</w:t>
            </w:r>
            <w:r>
              <w:rPr>
                <w:rFonts w:hint="eastAsia" w:ascii="宋体" w:hAnsi="宋体" w:cs="宋体"/>
                <w:sz w:val="18"/>
                <w:szCs w:val="18"/>
              </w:rPr>
              <w:t>配备无线控制器。加内置或外置接收控制器，到位自动停止。</w:t>
            </w:r>
          </w:p>
          <w:p>
            <w:pPr>
              <w:jc w:val="left"/>
              <w:rPr>
                <w:rFonts w:ascii="宋体" w:hAnsi="宋体" w:cs="宋体"/>
                <w:b/>
                <w:sz w:val="24"/>
              </w:rPr>
            </w:pPr>
            <w:r>
              <w:rPr>
                <w:rFonts w:hint="eastAsia" w:ascii="宋体" w:hAnsi="宋体" w:cs="宋体"/>
                <w:bCs/>
                <w:sz w:val="18"/>
                <w:szCs w:val="18"/>
              </w:rPr>
              <w:t>电动轨道：轨道电泳处理；超滑白色优质铝合金导轨。</w:t>
            </w:r>
            <w:r>
              <w:rPr>
                <w:rFonts w:hint="eastAsia" w:ascii="宋体" w:hAnsi="宋体" w:cs="宋体"/>
                <w:color w:val="000000"/>
                <w:sz w:val="18"/>
                <w:szCs w:val="18"/>
              </w:rPr>
              <w:t>★</w:t>
            </w:r>
            <w:r>
              <w:rPr>
                <w:rFonts w:hint="eastAsia" w:ascii="宋体" w:hAnsi="宋体" w:cs="宋体"/>
                <w:bCs/>
                <w:sz w:val="18"/>
                <w:szCs w:val="18"/>
              </w:rPr>
              <w:t>耐沸水性、耐盐酸性符合要求（提供检测报告）。</w:t>
            </w:r>
            <w:r>
              <w:rPr>
                <w:rFonts w:hint="eastAsia" w:ascii="宋体" w:hAnsi="宋体" w:cs="宋体"/>
                <w:color w:val="000000"/>
                <w:sz w:val="18"/>
                <w:szCs w:val="18"/>
              </w:rPr>
              <w:t>★</w:t>
            </w:r>
            <w:r>
              <w:rPr>
                <w:rFonts w:hint="eastAsia" w:ascii="宋体" w:hAnsi="宋体" w:cs="宋体"/>
                <w:bCs/>
                <w:sz w:val="18"/>
                <w:szCs w:val="18"/>
              </w:rPr>
              <w:t>抗拉强度≥</w:t>
            </w:r>
            <w:r>
              <w:rPr>
                <w:rFonts w:ascii="宋体" w:hAnsi="宋体" w:cs="宋体"/>
                <w:bCs/>
                <w:sz w:val="18"/>
                <w:szCs w:val="18"/>
              </w:rPr>
              <w:t>160Rm Mpa</w:t>
            </w:r>
            <w:r>
              <w:rPr>
                <w:rFonts w:hint="eastAsia" w:ascii="宋体" w:hAnsi="宋体" w:cs="宋体"/>
                <w:bCs/>
                <w:sz w:val="18"/>
                <w:szCs w:val="18"/>
              </w:rPr>
              <w:t>（提供检测报告）。断后伸长率</w:t>
            </w:r>
            <w:r>
              <w:rPr>
                <w:rFonts w:ascii="宋体" w:hAnsi="宋体" w:cs="宋体"/>
                <w:bCs/>
                <w:sz w:val="18"/>
                <w:szCs w:val="18"/>
              </w:rPr>
              <w:t>A50</w:t>
            </w:r>
            <w:r>
              <w:rPr>
                <w:rFonts w:hint="eastAsia" w:ascii="宋体" w:hAnsi="宋体" w:cs="宋体"/>
                <w:bCs/>
                <w:sz w:val="18"/>
                <w:szCs w:val="18"/>
              </w:rPr>
              <w:t>㎜（</w:t>
            </w:r>
            <w:r>
              <w:rPr>
                <w:rFonts w:ascii="宋体" w:hAnsi="宋体" w:cs="宋体"/>
                <w:bCs/>
                <w:sz w:val="18"/>
                <w:szCs w:val="18"/>
              </w:rPr>
              <w:t>%</w:t>
            </w:r>
            <w:r>
              <w:rPr>
                <w:rFonts w:hint="eastAsia" w:ascii="宋体" w:hAnsi="宋体" w:cs="宋体"/>
                <w:bCs/>
                <w:sz w:val="18"/>
                <w:szCs w:val="18"/>
              </w:rPr>
              <w:t>）≥</w:t>
            </w:r>
            <w:r>
              <w:rPr>
                <w:rFonts w:ascii="宋体" w:hAnsi="宋体" w:cs="宋体"/>
                <w:bCs/>
                <w:sz w:val="18"/>
                <w:szCs w:val="18"/>
              </w:rPr>
              <w:t>8</w:t>
            </w:r>
          </w:p>
          <w:p>
            <w:pPr>
              <w:jc w:val="left"/>
              <w:rPr>
                <w:rFonts w:ascii="宋体" w:cs="宋体"/>
                <w:sz w:val="18"/>
                <w:szCs w:val="18"/>
              </w:rPr>
            </w:pPr>
          </w:p>
        </w:tc>
      </w:tr>
      <w:tr>
        <w:tblPrEx>
          <w:tblCellMar>
            <w:top w:w="0" w:type="dxa"/>
            <w:left w:w="108" w:type="dxa"/>
            <w:bottom w:w="0" w:type="dxa"/>
            <w:right w:w="108" w:type="dxa"/>
          </w:tblCellMar>
        </w:tblPrEx>
        <w:trPr>
          <w:trHeight w:val="584" w:hRule="atLeast"/>
        </w:trPr>
        <w:tc>
          <w:tcPr>
            <w:tcW w:w="551" w:type="pct"/>
            <w:vMerge w:val="restart"/>
            <w:tcBorders>
              <w:top w:val="single" w:color="auto" w:sz="4" w:space="0"/>
              <w:left w:val="single" w:color="auto" w:sz="4" w:space="0"/>
              <w:bottom w:val="single" w:color="auto" w:sz="4" w:space="0"/>
              <w:right w:val="single" w:color="auto" w:sz="4" w:space="0"/>
            </w:tcBorders>
            <w:noWrap/>
            <w:vAlign w:val="center"/>
          </w:tcPr>
          <w:p>
            <w:pPr>
              <w:rPr>
                <w:rFonts w:ascii="宋体" w:cs="宋体"/>
                <w:sz w:val="18"/>
                <w:szCs w:val="18"/>
              </w:rPr>
            </w:pPr>
            <w:r>
              <w:rPr>
                <w:rFonts w:hint="eastAsia" w:ascii="宋体" w:hAnsi="宋体" w:cs="宋体"/>
                <w:sz w:val="18"/>
                <w:szCs w:val="18"/>
              </w:rPr>
              <w:t>会议室、接待室、行政办公室</w:t>
            </w:r>
          </w:p>
        </w:tc>
        <w:tc>
          <w:tcPr>
            <w:tcW w:w="8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布帘</w:t>
            </w:r>
          </w:p>
        </w:tc>
        <w:tc>
          <w:tcPr>
            <w:tcW w:w="1588"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r>
              <w:rPr>
                <w:rFonts w:hint="eastAsia" w:ascii="宋体" w:cs="宋体"/>
              </w:rPr>
              <w:drawing>
                <wp:inline distT="0" distB="0" distL="114300" distR="114300">
                  <wp:extent cx="1448435" cy="814705"/>
                  <wp:effectExtent l="0" t="0" r="18415" b="4445"/>
                  <wp:docPr id="3" name="图片 4" descr="Xow4xQpvAssAA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Xow4xQpvAssAAQM"/>
                          <pic:cNvPicPr>
                            <a:picLocks noChangeAspect="1"/>
                          </pic:cNvPicPr>
                        </pic:nvPicPr>
                        <pic:blipFill>
                          <a:blip r:embed="rId7"/>
                          <a:stretch>
                            <a:fillRect/>
                          </a:stretch>
                        </pic:blipFill>
                        <pic:spPr>
                          <a:xfrm>
                            <a:off x="0" y="0"/>
                            <a:ext cx="1448435" cy="814705"/>
                          </a:xfrm>
                          <a:prstGeom prst="rect">
                            <a:avLst/>
                          </a:prstGeom>
                          <a:noFill/>
                          <a:ln>
                            <a:noFill/>
                          </a:ln>
                        </pic:spPr>
                      </pic:pic>
                    </a:graphicData>
                  </a:graphic>
                </wp:inline>
              </w:drawing>
            </w:r>
          </w:p>
        </w:tc>
        <w:tc>
          <w:tcPr>
            <w:tcW w:w="1994"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color w:val="000000"/>
                <w:sz w:val="18"/>
                <w:szCs w:val="18"/>
              </w:rPr>
            </w:pPr>
            <w:r>
              <w:rPr>
                <w:rFonts w:hint="eastAsia" w:ascii="宋体" w:hAnsi="宋体" w:cs="宋体"/>
                <w:color w:val="000000"/>
                <w:sz w:val="18"/>
                <w:szCs w:val="18"/>
              </w:rPr>
              <w:t>布料检测参数同上</w:t>
            </w:r>
          </w:p>
        </w:tc>
      </w:tr>
      <w:tr>
        <w:tblPrEx>
          <w:tblCellMar>
            <w:top w:w="0" w:type="dxa"/>
            <w:left w:w="108" w:type="dxa"/>
            <w:bottom w:w="0" w:type="dxa"/>
            <w:right w:w="108" w:type="dxa"/>
          </w:tblCellMar>
        </w:tblPrEx>
        <w:trPr>
          <w:trHeight w:val="1095" w:hRule="atLeast"/>
        </w:trPr>
        <w:tc>
          <w:tcPr>
            <w:tcW w:w="551" w:type="pct"/>
            <w:vMerge w:val="continue"/>
            <w:tcBorders>
              <w:top w:val="single" w:color="auto" w:sz="4" w:space="0"/>
              <w:left w:val="single" w:color="auto" w:sz="4" w:space="0"/>
              <w:bottom w:val="single" w:color="auto" w:sz="4" w:space="0"/>
              <w:right w:val="single" w:color="auto" w:sz="4" w:space="0"/>
            </w:tcBorders>
            <w:noWrap/>
            <w:vAlign w:val="center"/>
          </w:tcPr>
          <w:p>
            <w:pPr>
              <w:rPr>
                <w:rFonts w:ascii="宋体" w:cs="宋体"/>
                <w:sz w:val="18"/>
                <w:szCs w:val="18"/>
              </w:rPr>
            </w:pPr>
          </w:p>
        </w:tc>
        <w:tc>
          <w:tcPr>
            <w:tcW w:w="8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纱帘</w:t>
            </w:r>
          </w:p>
        </w:tc>
        <w:tc>
          <w:tcPr>
            <w:tcW w:w="1588"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rPr>
            </w:pPr>
          </w:p>
        </w:tc>
        <w:tc>
          <w:tcPr>
            <w:tcW w:w="1994" w:type="pct"/>
            <w:tcBorders>
              <w:top w:val="single" w:color="auto" w:sz="4" w:space="0"/>
              <w:left w:val="single" w:color="auto" w:sz="4" w:space="0"/>
              <w:bottom w:val="single" w:color="auto" w:sz="4" w:space="0"/>
              <w:right w:val="single" w:color="auto" w:sz="4" w:space="0"/>
            </w:tcBorders>
            <w:noWrap/>
            <w:vAlign w:val="center"/>
          </w:tcPr>
          <w:p>
            <w:pPr>
              <w:rPr>
                <w:rFonts w:ascii="宋体" w:cs="宋体"/>
                <w:color w:val="000000"/>
                <w:sz w:val="18"/>
                <w:szCs w:val="18"/>
              </w:rPr>
            </w:pPr>
            <w:r>
              <w:rPr>
                <w:rFonts w:hint="eastAsia" w:ascii="宋体" w:hAnsi="宋体" w:cs="宋体"/>
                <w:color w:val="000000"/>
                <w:sz w:val="18"/>
                <w:szCs w:val="18"/>
              </w:rPr>
              <w:t>杆位系数为</w:t>
            </w:r>
            <w:r>
              <w:rPr>
                <w:rFonts w:ascii="宋体" w:hAnsi="宋体" w:cs="宋体"/>
                <w:color w:val="000000"/>
                <w:sz w:val="18"/>
                <w:szCs w:val="18"/>
              </w:rPr>
              <w:t>1:2</w:t>
            </w:r>
            <w:r>
              <w:rPr>
                <w:rFonts w:hint="eastAsia" w:ascii="宋体" w:hAnsi="宋体" w:cs="宋体"/>
                <w:color w:val="000000"/>
                <w:sz w:val="18"/>
                <w:szCs w:val="18"/>
              </w:rPr>
              <w:t>（实际宽度与窗帘布用料之比，充分保证窗帘美观），所有面料需是环保材料。</w:t>
            </w:r>
          </w:p>
          <w:p>
            <w:pP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、甲醛含量（</w:t>
            </w:r>
            <w:r>
              <w:rPr>
                <w:rFonts w:ascii="宋体" w:hAnsi="宋体" w:cs="宋体"/>
                <w:color w:val="000000"/>
                <w:sz w:val="18"/>
                <w:szCs w:val="18"/>
              </w:rPr>
              <w:t>mg/kg</w:t>
            </w:r>
            <w:r>
              <w:rPr>
                <w:rFonts w:hint="eastAsia" w:ascii="宋体" w:hAnsi="宋体" w:cs="宋体"/>
                <w:color w:val="000000"/>
                <w:sz w:val="18"/>
                <w:szCs w:val="18"/>
              </w:rPr>
              <w:t>）≤</w:t>
            </w:r>
            <w:r>
              <w:rPr>
                <w:rFonts w:ascii="宋体" w:hAnsi="宋体" w:cs="宋体"/>
                <w:color w:val="000000"/>
                <w:sz w:val="18"/>
                <w:szCs w:val="18"/>
              </w:rPr>
              <w:t>20</w:t>
            </w:r>
            <w:r>
              <w:rPr>
                <w:rFonts w:hint="eastAsia" w:ascii="宋体" w:hAnsi="宋体" w:cs="宋体"/>
                <w:color w:val="000000"/>
                <w:sz w:val="18"/>
                <w:szCs w:val="18"/>
              </w:rPr>
              <w:t>，</w:t>
            </w:r>
            <w:r>
              <w:rPr>
                <w:rFonts w:hint="eastAsia" w:ascii="宋体" w:cs="宋体"/>
                <w:color w:val="000000"/>
                <w:sz w:val="18"/>
                <w:szCs w:val="18"/>
              </w:rPr>
              <w:t>检验依据：</w:t>
            </w:r>
            <w:r>
              <w:rPr>
                <w:rFonts w:ascii="宋体" w:hAnsi="宋体" w:cs="宋体"/>
                <w:color w:val="000000"/>
                <w:sz w:val="18"/>
                <w:szCs w:val="18"/>
              </w:rPr>
              <w:t>GB</w:t>
            </w:r>
            <w:r>
              <w:rPr>
                <w:rFonts w:ascii="宋体" w:cs="宋体"/>
                <w:color w:val="000000"/>
                <w:sz w:val="18"/>
                <w:szCs w:val="18"/>
              </w:rPr>
              <w:t>/T 2912.1-2009</w:t>
            </w:r>
            <w:r>
              <w:rPr>
                <w:rFonts w:hint="eastAsia" w:ascii="宋体" w:cs="宋体"/>
                <w:color w:val="000000"/>
                <w:sz w:val="18"/>
                <w:szCs w:val="18"/>
              </w:rPr>
              <w:t>；</w:t>
            </w:r>
          </w:p>
          <w:p>
            <w:pPr>
              <w:rPr>
                <w:rFonts w:asci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、可分解致癌芳香胺染料含量：</w:t>
            </w:r>
            <w:r>
              <w:rPr>
                <w:rFonts w:ascii="宋体" w:cs="宋体"/>
                <w:color w:val="000000"/>
                <w:sz w:val="18"/>
                <w:szCs w:val="18"/>
              </w:rPr>
              <w:t>0</w:t>
            </w:r>
            <w:r>
              <w:rPr>
                <w:rFonts w:hint="eastAsia" w:ascii="宋体" w:hAnsi="宋体" w:cs="宋体"/>
                <w:color w:val="000000"/>
                <w:sz w:val="18"/>
                <w:szCs w:val="18"/>
              </w:rPr>
              <w:t>，检验依据</w:t>
            </w:r>
            <w:r>
              <w:rPr>
                <w:rFonts w:ascii="宋体" w:hAnsi="宋体" w:cs="宋体"/>
                <w:color w:val="000000"/>
                <w:sz w:val="18"/>
                <w:szCs w:val="18"/>
              </w:rPr>
              <w:t>:GB</w:t>
            </w:r>
            <w:r>
              <w:rPr>
                <w:rFonts w:ascii="宋体" w:cs="宋体"/>
                <w:color w:val="000000"/>
                <w:sz w:val="18"/>
                <w:szCs w:val="18"/>
              </w:rPr>
              <w:t>/T 17592-2011</w:t>
            </w:r>
            <w:r>
              <w:rPr>
                <w:rFonts w:hint="eastAsia" w:ascii="宋体" w:cs="宋体"/>
                <w:color w:val="000000"/>
                <w:sz w:val="18"/>
                <w:szCs w:val="18"/>
              </w:rPr>
              <w:t>，</w:t>
            </w:r>
            <w:r>
              <w:rPr>
                <w:rFonts w:ascii="宋体" w:hAnsi="宋体" w:cs="宋体"/>
                <w:color w:val="000000"/>
                <w:sz w:val="18"/>
                <w:szCs w:val="18"/>
              </w:rPr>
              <w:t>GB</w:t>
            </w:r>
            <w:r>
              <w:rPr>
                <w:rFonts w:ascii="宋体" w:cs="宋体"/>
                <w:color w:val="000000"/>
                <w:sz w:val="18"/>
                <w:szCs w:val="18"/>
              </w:rPr>
              <w:t>/T 23344-2009;</w:t>
            </w:r>
          </w:p>
          <w:p>
            <w:pPr>
              <w:pStyle w:val="3"/>
              <w:rPr>
                <w:rFonts w:ascii="宋体" w:eastAsia="宋体" w:cs="宋体"/>
                <w:color w:val="000000"/>
                <w:sz w:val="18"/>
                <w:szCs w:val="18"/>
              </w:rPr>
            </w:pPr>
            <w:r>
              <w:rPr>
                <w:rFonts w:ascii="宋体" w:eastAsia="宋体" w:cs="宋体"/>
                <w:sz w:val="18"/>
                <w:szCs w:val="18"/>
              </w:rPr>
              <w:t>3</w:t>
            </w:r>
            <w:r>
              <w:rPr>
                <w:rFonts w:hint="eastAsia" w:ascii="宋体" w:eastAsia="宋体" w:cs="宋体"/>
                <w:sz w:val="18"/>
                <w:szCs w:val="18"/>
              </w:rPr>
              <w:t>、含氯苯酚（</w:t>
            </w:r>
            <w:r>
              <w:rPr>
                <w:rFonts w:ascii="宋体" w:eastAsia="宋体" w:cs="宋体"/>
                <w:sz w:val="18"/>
                <w:szCs w:val="18"/>
              </w:rPr>
              <w:t>mg/kg</w:t>
            </w:r>
            <w:r>
              <w:rPr>
                <w:rFonts w:hint="eastAsia" w:ascii="宋体" w:eastAsia="宋体" w:cs="宋体"/>
                <w:sz w:val="18"/>
                <w:szCs w:val="18"/>
              </w:rPr>
              <w:t>）：</w:t>
            </w:r>
            <w:r>
              <w:rPr>
                <w:rFonts w:ascii="宋体" w:eastAsia="宋体" w:cs="宋体"/>
                <w:sz w:val="18"/>
                <w:szCs w:val="18"/>
              </w:rPr>
              <w:t>0</w:t>
            </w:r>
            <w:r>
              <w:rPr>
                <w:rFonts w:hint="eastAsia" w:ascii="宋体" w:eastAsia="宋体" w:cs="宋体"/>
                <w:sz w:val="18"/>
                <w:szCs w:val="18"/>
              </w:rPr>
              <w:t>，检验依据：</w:t>
            </w:r>
            <w:r>
              <w:rPr>
                <w:rFonts w:ascii="宋体" w:eastAsia="宋体" w:cs="宋体"/>
                <w:sz w:val="18"/>
                <w:szCs w:val="18"/>
              </w:rPr>
              <w:t>GB/T 18414.1-2006</w:t>
            </w:r>
            <w:r>
              <w:rPr>
                <w:rFonts w:hint="eastAsia" w:ascii="宋体" w:eastAsia="宋体" w:cs="宋体"/>
                <w:sz w:val="18"/>
                <w:szCs w:val="18"/>
              </w:rPr>
              <w:t>；</w:t>
            </w:r>
          </w:p>
          <w:p>
            <w:pPr>
              <w:rPr>
                <w:rFonts w:ascii="宋体" w:cs="宋体"/>
                <w:color w:val="000000"/>
                <w:sz w:val="18"/>
                <w:szCs w:val="18"/>
              </w:rPr>
            </w:pPr>
            <w:r>
              <w:rPr>
                <w:rFonts w:ascii="宋体" w:hAnsi="宋体" w:cs="宋体"/>
                <w:color w:val="000000"/>
                <w:sz w:val="18"/>
                <w:szCs w:val="18"/>
              </w:rPr>
              <w:t>4</w:t>
            </w:r>
            <w:r>
              <w:rPr>
                <w:rFonts w:hint="eastAsia" w:ascii="宋体" w:hAnsi="宋体" w:cs="宋体"/>
                <w:color w:val="000000"/>
                <w:sz w:val="18"/>
                <w:szCs w:val="18"/>
              </w:rPr>
              <w:t>、致敏性分散染料含量（</w:t>
            </w:r>
            <w:r>
              <w:rPr>
                <w:rFonts w:ascii="宋体" w:hAnsi="宋体" w:cs="宋体"/>
                <w:color w:val="000000"/>
                <w:sz w:val="18"/>
                <w:szCs w:val="18"/>
              </w:rPr>
              <w:t>mg/kg</w:t>
            </w:r>
            <w:r>
              <w:rPr>
                <w:rFonts w:hint="eastAsia" w:ascii="宋体" w:hAnsi="宋体" w:cs="宋体"/>
                <w:color w:val="000000"/>
                <w:sz w:val="18"/>
                <w:szCs w:val="18"/>
              </w:rPr>
              <w:t>）：</w:t>
            </w:r>
            <w:r>
              <w:rPr>
                <w:rFonts w:ascii="宋体" w:cs="宋体"/>
                <w:color w:val="000000"/>
                <w:sz w:val="18"/>
                <w:szCs w:val="18"/>
              </w:rPr>
              <w:t>0,</w:t>
            </w:r>
            <w:r>
              <w:rPr>
                <w:rFonts w:hint="eastAsia" w:ascii="宋体" w:hAnsi="宋体" w:cs="宋体"/>
                <w:color w:val="000000"/>
                <w:sz w:val="18"/>
                <w:szCs w:val="18"/>
              </w:rPr>
              <w:t>检验依据：</w:t>
            </w:r>
            <w:r>
              <w:rPr>
                <w:rFonts w:ascii="宋体" w:hAnsi="宋体" w:cs="宋体"/>
                <w:color w:val="000000"/>
                <w:sz w:val="18"/>
                <w:szCs w:val="18"/>
              </w:rPr>
              <w:t>GB/T 20383-2006</w:t>
            </w:r>
            <w:r>
              <w:rPr>
                <w:rFonts w:hint="eastAsia" w:ascii="宋体" w:hAnsi="宋体" w:cs="宋体"/>
                <w:color w:val="000000"/>
                <w:sz w:val="18"/>
                <w:szCs w:val="18"/>
              </w:rPr>
              <w:t>；</w:t>
            </w:r>
          </w:p>
          <w:p>
            <w:pPr>
              <w:pStyle w:val="3"/>
              <w:rPr>
                <w:rFonts w:ascii="宋体" w:eastAsia="宋体" w:cs="宋体"/>
                <w:color w:val="000000"/>
                <w:sz w:val="18"/>
                <w:szCs w:val="18"/>
              </w:rPr>
            </w:pPr>
            <w:r>
              <w:rPr>
                <w:rFonts w:ascii="宋体" w:eastAsia="宋体" w:cs="宋体"/>
                <w:color w:val="000000"/>
                <w:sz w:val="18"/>
                <w:szCs w:val="18"/>
              </w:rPr>
              <w:t>5</w:t>
            </w:r>
            <w:r>
              <w:rPr>
                <w:rFonts w:hint="eastAsia" w:ascii="宋体" w:eastAsia="宋体" w:cs="宋体"/>
                <w:color w:val="000000"/>
                <w:sz w:val="18"/>
                <w:szCs w:val="18"/>
              </w:rPr>
              <w:t>、耐光色牢度（级）：</w:t>
            </w:r>
            <w:r>
              <w:rPr>
                <w:rFonts w:ascii="Arial" w:hAnsi="Arial" w:eastAsia="宋体" w:cs="Arial"/>
                <w:color w:val="000000"/>
                <w:sz w:val="18"/>
                <w:szCs w:val="18"/>
              </w:rPr>
              <w:t>≥</w:t>
            </w:r>
            <w:r>
              <w:rPr>
                <w:rFonts w:ascii="宋体" w:eastAsia="宋体" w:cs="宋体"/>
                <w:color w:val="000000"/>
                <w:sz w:val="18"/>
                <w:szCs w:val="18"/>
              </w:rPr>
              <w:t>5</w:t>
            </w:r>
            <w:r>
              <w:rPr>
                <w:rFonts w:hint="eastAsia" w:ascii="宋体" w:eastAsia="宋体" w:cs="宋体"/>
                <w:color w:val="000000"/>
                <w:sz w:val="18"/>
                <w:szCs w:val="18"/>
              </w:rPr>
              <w:t>级，检验依据：</w:t>
            </w:r>
            <w:r>
              <w:rPr>
                <w:rFonts w:ascii="宋体" w:eastAsia="宋体" w:cs="宋体"/>
                <w:color w:val="000000"/>
                <w:sz w:val="18"/>
                <w:szCs w:val="18"/>
              </w:rPr>
              <w:t>GB/T 8427-1998</w:t>
            </w:r>
            <w:r>
              <w:rPr>
                <w:rFonts w:hint="eastAsia" w:ascii="宋体" w:eastAsia="宋体" w:cs="宋体"/>
                <w:color w:val="000000"/>
                <w:sz w:val="18"/>
                <w:szCs w:val="18"/>
              </w:rPr>
              <w:t>；</w:t>
            </w:r>
          </w:p>
          <w:p>
            <w:pPr>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6</w:t>
            </w:r>
            <w:r>
              <w:rPr>
                <w:rFonts w:hint="eastAsia" w:ascii="宋体" w:hAnsi="宋体" w:cs="宋体"/>
                <w:color w:val="000000"/>
                <w:sz w:val="18"/>
                <w:szCs w:val="18"/>
              </w:rPr>
              <w:t>、</w:t>
            </w:r>
            <w:r>
              <w:rPr>
                <w:rFonts w:hint="eastAsia" w:ascii="宋体" w:hAnsi="宋体" w:cs="宋体"/>
                <w:sz w:val="18"/>
                <w:szCs w:val="18"/>
              </w:rPr>
              <w:t>阻燃性</w:t>
            </w:r>
            <w:r>
              <w:rPr>
                <w:rFonts w:hint="eastAsia" w:ascii="宋体" w:hAnsi="宋体" w:cs="宋体"/>
                <w:color w:val="000000"/>
                <w:sz w:val="18"/>
                <w:szCs w:val="18"/>
              </w:rPr>
              <w:t>：</w:t>
            </w:r>
            <w:r>
              <w:rPr>
                <w:rFonts w:ascii="宋体" w:hAnsi="宋体" w:cs="宋体"/>
                <w:color w:val="000000"/>
                <w:sz w:val="18"/>
                <w:szCs w:val="18"/>
              </w:rPr>
              <w:t>B1</w:t>
            </w:r>
            <w:r>
              <w:rPr>
                <w:rFonts w:hint="eastAsia" w:ascii="宋体" w:hAnsi="宋体" w:cs="宋体"/>
                <w:color w:val="000000"/>
                <w:sz w:val="18"/>
                <w:szCs w:val="18"/>
              </w:rPr>
              <w:t>级，检验依据：</w:t>
            </w:r>
            <w:r>
              <w:rPr>
                <w:rFonts w:ascii="宋体" w:hAnsi="宋体" w:cs="宋体"/>
                <w:color w:val="000000"/>
                <w:sz w:val="18"/>
                <w:szCs w:val="18"/>
              </w:rPr>
              <w:t>GB 20286-2006/GB 8624-2012 B1</w:t>
            </w:r>
            <w:r>
              <w:rPr>
                <w:rFonts w:hint="eastAsia" w:ascii="宋体" w:hAnsi="宋体" w:cs="宋体"/>
                <w:color w:val="000000"/>
                <w:sz w:val="18"/>
                <w:szCs w:val="18"/>
              </w:rPr>
              <w:t>标准；</w:t>
            </w:r>
          </w:p>
          <w:p>
            <w:pPr>
              <w:pStyle w:val="3"/>
              <w:rPr>
                <w:rFonts w:ascii="宋体" w:eastAsia="宋体" w:cs="宋体"/>
                <w:bCs/>
                <w:color w:val="000000"/>
                <w:sz w:val="18"/>
                <w:szCs w:val="18"/>
              </w:rPr>
            </w:pPr>
            <w:r>
              <w:rPr>
                <w:rFonts w:hint="eastAsia" w:ascii="宋体" w:eastAsia="宋体" w:cs="宋体"/>
                <w:bCs/>
                <w:color w:val="000000"/>
                <w:sz w:val="18"/>
                <w:szCs w:val="18"/>
              </w:rPr>
              <w:t>★</w:t>
            </w:r>
            <w:r>
              <w:rPr>
                <w:rFonts w:ascii="宋体" w:eastAsia="宋体" w:cs="宋体"/>
                <w:bCs/>
                <w:color w:val="000000"/>
                <w:sz w:val="18"/>
                <w:szCs w:val="18"/>
              </w:rPr>
              <w:t>7</w:t>
            </w:r>
            <w:r>
              <w:rPr>
                <w:rFonts w:hint="eastAsia" w:ascii="宋体" w:eastAsia="宋体" w:cs="宋体"/>
                <w:bCs/>
                <w:color w:val="000000"/>
                <w:sz w:val="18"/>
                <w:szCs w:val="18"/>
              </w:rPr>
              <w:t>、大肠杆菌（</w:t>
            </w:r>
            <w:r>
              <w:rPr>
                <w:rFonts w:ascii="宋体" w:eastAsia="宋体" w:cs="宋体"/>
                <w:bCs/>
                <w:color w:val="000000"/>
                <w:sz w:val="18"/>
                <w:szCs w:val="18"/>
              </w:rPr>
              <w:t>ATCC25922</w:t>
            </w:r>
            <w:r>
              <w:rPr>
                <w:rFonts w:hint="eastAsia" w:ascii="宋体" w:eastAsia="宋体" w:cs="宋体"/>
                <w:bCs/>
                <w:color w:val="000000"/>
                <w:sz w:val="18"/>
                <w:szCs w:val="18"/>
              </w:rPr>
              <w:t>）抑菌率</w:t>
            </w:r>
            <w:r>
              <w:rPr>
                <w:rFonts w:hint="eastAsia" w:ascii="宋体" w:eastAsia="宋体" w:cs="宋体"/>
                <w:color w:val="000000"/>
                <w:sz w:val="18"/>
                <w:szCs w:val="18"/>
              </w:rPr>
              <w:t>≥</w:t>
            </w:r>
            <w:r>
              <w:rPr>
                <w:rFonts w:ascii="宋体" w:eastAsia="宋体" w:cs="宋体"/>
                <w:color w:val="000000"/>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pStyle w:val="3"/>
              <w:rPr>
                <w:rFonts w:ascii="宋体" w:eastAsia="宋体" w:cs="宋体"/>
                <w:color w:val="000000"/>
                <w:sz w:val="18"/>
                <w:szCs w:val="18"/>
              </w:rPr>
            </w:pPr>
            <w:r>
              <w:rPr>
                <w:rFonts w:hint="eastAsia" w:ascii="宋体" w:eastAsia="宋体" w:cs="宋体"/>
                <w:bCs/>
                <w:color w:val="000000"/>
                <w:sz w:val="18"/>
                <w:szCs w:val="18"/>
              </w:rPr>
              <w:t>★</w:t>
            </w:r>
            <w:r>
              <w:rPr>
                <w:rFonts w:ascii="宋体" w:eastAsia="宋体" w:cs="宋体"/>
                <w:bCs/>
                <w:color w:val="000000"/>
                <w:sz w:val="18"/>
                <w:szCs w:val="18"/>
              </w:rPr>
              <w:t>8</w:t>
            </w:r>
            <w:r>
              <w:rPr>
                <w:rFonts w:hint="eastAsia" w:ascii="宋体" w:eastAsia="宋体" w:cs="宋体"/>
                <w:bCs/>
                <w:color w:val="000000"/>
                <w:sz w:val="18"/>
                <w:szCs w:val="18"/>
              </w:rPr>
              <w:t>、白色念珠菌（</w:t>
            </w:r>
            <w:r>
              <w:rPr>
                <w:rFonts w:ascii="宋体" w:eastAsia="宋体" w:cs="宋体"/>
                <w:bCs/>
                <w:color w:val="000000"/>
                <w:sz w:val="18"/>
                <w:szCs w:val="18"/>
              </w:rPr>
              <w:t>ATCC10231</w:t>
            </w:r>
            <w:r>
              <w:rPr>
                <w:rFonts w:hint="eastAsia" w:ascii="宋体" w:eastAsia="宋体" w:cs="宋体"/>
                <w:bCs/>
                <w:color w:val="000000"/>
                <w:sz w:val="18"/>
                <w:szCs w:val="18"/>
              </w:rPr>
              <w:t>）抑菌率</w:t>
            </w:r>
            <w:r>
              <w:rPr>
                <w:rFonts w:hint="eastAsia" w:ascii="宋体" w:eastAsia="宋体" w:cs="宋体"/>
                <w:color w:val="000000"/>
                <w:sz w:val="18"/>
                <w:szCs w:val="18"/>
              </w:rPr>
              <w:t>≥</w:t>
            </w:r>
            <w:r>
              <w:rPr>
                <w:rFonts w:ascii="宋体" w:eastAsia="宋体" w:cs="宋体"/>
                <w:color w:val="000000"/>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pStyle w:val="3"/>
              <w:rPr>
                <w:rFonts w:ascii="宋体" w:eastAsia="宋体" w:cs="宋体"/>
                <w:color w:val="000000"/>
                <w:sz w:val="18"/>
                <w:szCs w:val="18"/>
              </w:rPr>
            </w:pPr>
            <w:r>
              <w:rPr>
                <w:rFonts w:hint="eastAsia" w:ascii="宋体" w:eastAsia="宋体" w:cs="宋体"/>
                <w:color w:val="000000"/>
                <w:sz w:val="18"/>
                <w:szCs w:val="18"/>
              </w:rPr>
              <w:t>★</w:t>
            </w:r>
            <w:r>
              <w:rPr>
                <w:rFonts w:ascii="宋体" w:eastAsia="宋体" w:cs="宋体"/>
                <w:color w:val="000000"/>
                <w:sz w:val="18"/>
                <w:szCs w:val="18"/>
              </w:rPr>
              <w:t>9</w:t>
            </w:r>
            <w:r>
              <w:rPr>
                <w:rFonts w:hint="eastAsia" w:ascii="宋体" w:eastAsia="宋体" w:cs="宋体"/>
                <w:color w:val="000000"/>
                <w:sz w:val="18"/>
                <w:szCs w:val="18"/>
              </w:rPr>
              <w:t>、肺炎克雷伯菌（</w:t>
            </w:r>
            <w:r>
              <w:rPr>
                <w:rFonts w:ascii="宋体" w:eastAsia="宋体" w:cs="宋体"/>
                <w:color w:val="000000"/>
                <w:sz w:val="18"/>
                <w:szCs w:val="18"/>
              </w:rPr>
              <w:t>ATCC4352</w:t>
            </w:r>
            <w:r>
              <w:rPr>
                <w:rFonts w:hint="eastAsia" w:ascii="宋体" w:eastAsia="宋体" w:cs="宋体"/>
                <w:color w:val="000000"/>
                <w:sz w:val="18"/>
                <w:szCs w:val="18"/>
              </w:rPr>
              <w:t>）</w:t>
            </w:r>
            <w:r>
              <w:rPr>
                <w:rFonts w:hint="eastAsia" w:ascii="宋体" w:eastAsia="宋体" w:cs="宋体"/>
                <w:bCs/>
                <w:sz w:val="18"/>
                <w:szCs w:val="18"/>
              </w:rPr>
              <w:t>抑菌率</w:t>
            </w:r>
            <w:r>
              <w:rPr>
                <w:rFonts w:hint="eastAsia" w:ascii="宋体" w:eastAsia="宋体" w:cs="宋体"/>
                <w:sz w:val="18"/>
                <w:szCs w:val="18"/>
              </w:rPr>
              <w:t>≥</w:t>
            </w:r>
            <w:r>
              <w:rPr>
                <w:rFonts w:ascii="宋体" w:eastAsia="宋体" w:cs="宋体"/>
                <w:sz w:val="18"/>
                <w:szCs w:val="18"/>
              </w:rPr>
              <w:t>95%,</w:t>
            </w:r>
            <w:r>
              <w:rPr>
                <w:rFonts w:hint="eastAsia" w:ascii="宋体" w:eastAsia="宋体" w:cs="宋体"/>
                <w:color w:val="000000"/>
                <w:sz w:val="18"/>
                <w:szCs w:val="18"/>
              </w:rPr>
              <w:t>检验依据：</w:t>
            </w:r>
            <w:r>
              <w:rPr>
                <w:rFonts w:ascii="宋体" w:eastAsia="宋体" w:cs="宋体"/>
                <w:color w:val="000000"/>
                <w:sz w:val="18"/>
                <w:szCs w:val="18"/>
              </w:rPr>
              <w:t>GB/T 20944.3-2008</w:t>
            </w:r>
            <w:r>
              <w:rPr>
                <w:rFonts w:hint="eastAsia" w:ascii="宋体" w:eastAsia="宋体" w:cs="宋体"/>
                <w:color w:val="000000"/>
                <w:sz w:val="18"/>
                <w:szCs w:val="18"/>
              </w:rPr>
              <w:t>振荡法；</w:t>
            </w:r>
          </w:p>
          <w:p>
            <w:pPr>
              <w:rPr>
                <w:rFonts w:ascii="宋体" w:cs="宋体"/>
                <w:color w:val="000000"/>
                <w:sz w:val="18"/>
                <w:szCs w:val="18"/>
              </w:rPr>
            </w:pPr>
            <w:r>
              <w:rPr>
                <w:rFonts w:hint="eastAsia" w:ascii="宋体" w:hAnsi="宋体" w:cs="宋体"/>
                <w:color w:val="000000"/>
                <w:sz w:val="18"/>
                <w:szCs w:val="18"/>
              </w:rPr>
              <w:t>提供有资质的第三方检测机构出具的有效的检测报告复印件并加盖投标人公章，原件备查</w:t>
            </w:r>
          </w:p>
        </w:tc>
      </w:tr>
      <w:tr>
        <w:tblPrEx>
          <w:tblCellMar>
            <w:top w:w="0" w:type="dxa"/>
            <w:left w:w="108" w:type="dxa"/>
            <w:bottom w:w="0" w:type="dxa"/>
            <w:right w:w="108" w:type="dxa"/>
          </w:tblCellMar>
        </w:tblPrEx>
        <w:trPr>
          <w:trHeight w:val="1480" w:hRule="atLeast"/>
        </w:trPr>
        <w:tc>
          <w:tcPr>
            <w:tcW w:w="551" w:type="pct"/>
            <w:tcBorders>
              <w:top w:val="single" w:color="auto" w:sz="4" w:space="0"/>
              <w:left w:val="single" w:color="auto" w:sz="4" w:space="0"/>
              <w:bottom w:val="single" w:color="auto" w:sz="4" w:space="0"/>
              <w:right w:val="single" w:color="auto" w:sz="4" w:space="0"/>
            </w:tcBorders>
            <w:noWrap/>
            <w:vAlign w:val="center"/>
          </w:tcPr>
          <w:p>
            <w:pPr>
              <w:rPr>
                <w:rFonts w:ascii="宋体" w:cs="宋体"/>
                <w:sz w:val="18"/>
                <w:szCs w:val="18"/>
              </w:rPr>
            </w:pPr>
          </w:p>
        </w:tc>
        <w:tc>
          <w:tcPr>
            <w:tcW w:w="14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 w:val="18"/>
                <w:szCs w:val="18"/>
              </w:rPr>
              <w:t>手动铝合金轨道</w:t>
            </w:r>
          </w:p>
        </w:tc>
        <w:tc>
          <w:tcPr>
            <w:tcW w:w="27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rPr>
            </w:pPr>
            <w:r>
              <w:rPr>
                <w:rFonts w:hint="eastAsia" w:ascii="宋体" w:cs="宋体"/>
              </w:rPr>
              <w:drawing>
                <wp:inline distT="0" distB="0" distL="114300" distR="114300">
                  <wp:extent cx="1234440" cy="756920"/>
                  <wp:effectExtent l="0" t="0" r="3810" b="508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1234440" cy="756920"/>
                          </a:xfrm>
                          <a:prstGeom prst="rect">
                            <a:avLst/>
                          </a:prstGeom>
                          <a:noFill/>
                          <a:ln>
                            <a:noFill/>
                          </a:ln>
                        </pic:spPr>
                      </pic:pic>
                    </a:graphicData>
                  </a:graphic>
                </wp:inline>
              </w:drawing>
            </w:r>
          </w:p>
        </w:tc>
        <w:tc>
          <w:tcPr>
            <w:tcW w:w="3398" w:type="dxa"/>
            <w:tcBorders>
              <w:top w:val="single" w:color="auto" w:sz="4" w:space="0"/>
              <w:left w:val="single" w:color="auto" w:sz="4" w:space="0"/>
              <w:bottom w:val="single" w:color="auto" w:sz="4" w:space="0"/>
              <w:right w:val="single" w:color="auto" w:sz="4" w:space="0"/>
            </w:tcBorders>
            <w:noWrap/>
            <w:vAlign w:val="center"/>
          </w:tcPr>
          <w:p>
            <w:pPr>
              <w:numPr>
                <w:ilvl w:val="0"/>
                <w:numId w:val="2"/>
              </w:numPr>
              <w:jc w:val="left"/>
              <w:rPr>
                <w:rFonts w:ascii="宋体" w:cs="宋体"/>
                <w:color w:val="000000"/>
                <w:sz w:val="18"/>
                <w:szCs w:val="18"/>
              </w:rPr>
            </w:pPr>
            <w:r>
              <w:rPr>
                <w:rFonts w:hint="eastAsia" w:ascii="宋体" w:hAnsi="宋体" w:cs="宋体"/>
                <w:color w:val="000000"/>
                <w:sz w:val="18"/>
                <w:szCs w:val="18"/>
              </w:rPr>
              <w:t>壁厚≧</w:t>
            </w:r>
            <w:r>
              <w:rPr>
                <w:rFonts w:ascii="宋体" w:hAnsi="宋体" w:cs="宋体"/>
                <w:color w:val="000000"/>
                <w:sz w:val="18"/>
                <w:szCs w:val="18"/>
              </w:rPr>
              <w:t>1.2mm</w:t>
            </w:r>
          </w:p>
          <w:p>
            <w:pPr>
              <w:pStyle w:val="3"/>
              <w:numPr>
                <w:ilvl w:val="0"/>
                <w:numId w:val="2"/>
              </w:numPr>
              <w:rPr>
                <w:rFonts w:ascii="宋体" w:eastAsia="宋体" w:cs="宋体"/>
                <w:color w:val="000000"/>
                <w:sz w:val="18"/>
                <w:szCs w:val="18"/>
              </w:rPr>
            </w:pPr>
            <w:r>
              <w:rPr>
                <w:rFonts w:hint="eastAsia" w:ascii="宋体" w:eastAsia="宋体" w:cs="宋体"/>
                <w:color w:val="000000"/>
                <w:sz w:val="18"/>
                <w:szCs w:val="18"/>
              </w:rPr>
              <w:t>★耐沸水性、耐盐酸性符合要求</w:t>
            </w:r>
          </w:p>
          <w:p>
            <w:pPr>
              <w:pStyle w:val="3"/>
              <w:numPr>
                <w:ilvl w:val="0"/>
                <w:numId w:val="2"/>
              </w:numPr>
              <w:rPr>
                <w:rFonts w:ascii="宋体" w:eastAsia="宋体" w:cs="宋体"/>
                <w:color w:val="000000"/>
                <w:sz w:val="18"/>
                <w:szCs w:val="18"/>
              </w:rPr>
            </w:pPr>
            <w:r>
              <w:rPr>
                <w:rFonts w:hint="eastAsia" w:ascii="宋体" w:eastAsia="宋体" w:cs="宋体"/>
                <w:color w:val="000000"/>
                <w:sz w:val="18"/>
                <w:szCs w:val="18"/>
              </w:rPr>
              <w:t>★抗拉强度≥</w:t>
            </w:r>
            <w:r>
              <w:rPr>
                <w:rFonts w:ascii="宋体" w:eastAsia="宋体" w:cs="宋体"/>
                <w:color w:val="000000"/>
                <w:sz w:val="18"/>
                <w:szCs w:val="18"/>
              </w:rPr>
              <w:t>190Rm Mpa</w:t>
            </w:r>
          </w:p>
          <w:p>
            <w:pPr>
              <w:pStyle w:val="3"/>
              <w:rPr>
                <w:rFonts w:ascii="宋体" w:cs="宋体"/>
                <w:color w:val="000000"/>
                <w:sz w:val="18"/>
                <w:szCs w:val="18"/>
              </w:rPr>
            </w:pPr>
            <w:r>
              <w:rPr>
                <w:rFonts w:hint="eastAsia" w:ascii="宋体" w:eastAsia="宋体" w:cs="宋体"/>
                <w:sz w:val="18"/>
                <w:szCs w:val="18"/>
              </w:rPr>
              <w:t>提供有资质的第三方检测机构出具的有效的检测报告复印件并加盖投标人公章，原件备查</w:t>
            </w:r>
          </w:p>
        </w:tc>
      </w:tr>
      <w:tr>
        <w:tblPrEx>
          <w:tblCellMar>
            <w:top w:w="0" w:type="dxa"/>
            <w:left w:w="108" w:type="dxa"/>
            <w:bottom w:w="0" w:type="dxa"/>
            <w:right w:w="108" w:type="dxa"/>
          </w:tblCellMar>
        </w:tblPrEx>
        <w:trPr>
          <w:trHeight w:val="980" w:hRule="atLeast"/>
        </w:trPr>
        <w:tc>
          <w:tcPr>
            <w:tcW w:w="551" w:type="pct"/>
            <w:tcBorders>
              <w:top w:val="single" w:color="auto" w:sz="4" w:space="0"/>
              <w:left w:val="single" w:color="auto" w:sz="4" w:space="0"/>
              <w:bottom w:val="single" w:color="auto" w:sz="4" w:space="0"/>
              <w:right w:val="single" w:color="auto" w:sz="4" w:space="0"/>
            </w:tcBorders>
            <w:noWrap/>
            <w:vAlign w:val="center"/>
          </w:tcPr>
          <w:p>
            <w:pPr>
              <w:rPr>
                <w:rFonts w:ascii="宋体" w:cs="宋体"/>
                <w:sz w:val="18"/>
                <w:szCs w:val="18"/>
              </w:rPr>
            </w:pPr>
            <w:r>
              <w:rPr>
                <w:rFonts w:hint="eastAsia" w:ascii="宋体" w:hAnsi="宋体" w:cs="宋体"/>
                <w:sz w:val="18"/>
                <w:szCs w:val="18"/>
              </w:rPr>
              <w:t>卫生间</w:t>
            </w:r>
          </w:p>
        </w:tc>
        <w:tc>
          <w:tcPr>
            <w:tcW w:w="86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sz w:val="18"/>
                <w:szCs w:val="18"/>
              </w:rPr>
            </w:pPr>
            <w:r>
              <w:rPr>
                <w:rFonts w:hint="eastAsia" w:ascii="宋体" w:hAnsi="宋体" w:cs="宋体"/>
                <w:szCs w:val="21"/>
              </w:rPr>
              <w:t>膜</w:t>
            </w:r>
          </w:p>
        </w:tc>
        <w:tc>
          <w:tcPr>
            <w:tcW w:w="1588"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rPr>
            </w:pPr>
          </w:p>
        </w:tc>
        <w:tc>
          <w:tcPr>
            <w:tcW w:w="1994" w:type="pct"/>
            <w:tcBorders>
              <w:top w:val="single" w:color="auto" w:sz="4" w:space="0"/>
              <w:left w:val="single" w:color="auto" w:sz="4" w:space="0"/>
              <w:bottom w:val="single" w:color="auto" w:sz="4" w:space="0"/>
              <w:right w:val="single" w:color="auto" w:sz="4" w:space="0"/>
            </w:tcBorders>
            <w:noWrap/>
            <w:vAlign w:val="center"/>
          </w:tcPr>
          <w:p>
            <w:pPr>
              <w:numPr>
                <w:ilvl w:val="0"/>
                <w:numId w:val="3"/>
              </w:numPr>
              <w:jc w:val="left"/>
            </w:pPr>
            <w:r>
              <w:rPr>
                <w:rFonts w:hint="eastAsia"/>
              </w:rPr>
              <w:t>紫外线阻隔率</w:t>
            </w:r>
          </w:p>
          <w:p>
            <w:pPr>
              <w:pStyle w:val="2"/>
              <w:ind w:left="0" w:leftChars="0"/>
              <w:jc w:val="left"/>
            </w:pPr>
            <w:r>
              <w:t>2</w:t>
            </w:r>
            <w:r>
              <w:rPr>
                <w:rFonts w:hint="eastAsia"/>
              </w:rPr>
              <w:t>、可见光透射率</w:t>
            </w:r>
          </w:p>
          <w:p>
            <w:pPr>
              <w:jc w:val="left"/>
            </w:pPr>
            <w:r>
              <w:t>3</w:t>
            </w:r>
            <w:r>
              <w:rPr>
                <w:rFonts w:hint="eastAsia"/>
              </w:rPr>
              <w:t>、可见光反射率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A5175"/>
    <w:multiLevelType w:val="singleLevel"/>
    <w:tmpl w:val="C0EA5175"/>
    <w:lvl w:ilvl="0" w:tentative="0">
      <w:start w:val="1"/>
      <w:numFmt w:val="decimal"/>
      <w:suff w:val="nothing"/>
      <w:lvlText w:val="%1、"/>
      <w:lvlJc w:val="left"/>
      <w:rPr>
        <w:rFonts w:cs="Times New Roman"/>
      </w:rPr>
    </w:lvl>
  </w:abstractNum>
  <w:abstractNum w:abstractNumId="1">
    <w:nsid w:val="6D13490E"/>
    <w:multiLevelType w:val="singleLevel"/>
    <w:tmpl w:val="6D13490E"/>
    <w:lvl w:ilvl="0" w:tentative="0">
      <w:start w:val="1"/>
      <w:numFmt w:val="decimal"/>
      <w:suff w:val="nothing"/>
      <w:lvlText w:val="%1、"/>
      <w:lvlJc w:val="left"/>
      <w:rPr>
        <w:rFonts w:cs="Times New Roman"/>
      </w:rPr>
    </w:lvl>
  </w:abstractNum>
  <w:abstractNum w:abstractNumId="2">
    <w:nsid w:val="703B178E"/>
    <w:multiLevelType w:val="singleLevel"/>
    <w:tmpl w:val="703B178E"/>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A29F3"/>
    <w:rsid w:val="7E4A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szCs w:val="22"/>
    </w:rPr>
  </w:style>
  <w:style w:type="paragraph" w:styleId="3">
    <w:name w:val="Body Text 2"/>
    <w:basedOn w:val="1"/>
    <w:uiPriority w:val="0"/>
    <w:pPr>
      <w:jc w:val="left"/>
    </w:pPr>
    <w:rPr>
      <w:rFonts w:ascii="仿宋_GB2312" w:hAnsi="宋体" w:eastAsia="仿宋_GB231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2020-11-25T08:54:00Z</dcterms:created>
  <dc:creator>Administrator</dc:creator>
  <cp:lastModifiedBy>Administrator</cp:lastModifiedBy>
  <dcterms:modified xsi:type="dcterms:W3CDTF">2020-11-25T08:54:31Z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